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54" w:rsidRDefault="00BF6154" w:rsidP="00ED7111">
      <w:pPr>
        <w:spacing w:after="0"/>
        <w:jc w:val="center"/>
        <w:rPr>
          <w:b/>
          <w:bCs/>
        </w:rPr>
      </w:pPr>
      <w:r w:rsidRPr="00BF6154">
        <w:rPr>
          <w:b/>
          <w:bCs/>
        </w:rPr>
        <w:t>TE 975</w:t>
      </w:r>
    </w:p>
    <w:p w:rsidR="00ED7111" w:rsidRDefault="00ED7111" w:rsidP="00ED7111">
      <w:pPr>
        <w:spacing w:after="0"/>
        <w:jc w:val="center"/>
        <w:rPr>
          <w:b/>
          <w:bCs/>
        </w:rPr>
      </w:pPr>
      <w:r>
        <w:rPr>
          <w:b/>
          <w:bCs/>
        </w:rPr>
        <w:t xml:space="preserve">306 </w:t>
      </w:r>
      <w:proofErr w:type="spellStart"/>
      <w:r>
        <w:rPr>
          <w:b/>
          <w:bCs/>
        </w:rPr>
        <w:t>Bessey</w:t>
      </w:r>
      <w:proofErr w:type="spellEnd"/>
      <w:r>
        <w:rPr>
          <w:b/>
          <w:bCs/>
        </w:rPr>
        <w:t xml:space="preserve"> Hall</w:t>
      </w:r>
    </w:p>
    <w:p w:rsidR="00ED7111" w:rsidRDefault="00ED7111" w:rsidP="00ED7111">
      <w:pPr>
        <w:spacing w:after="0"/>
        <w:jc w:val="center"/>
        <w:rPr>
          <w:b/>
          <w:bCs/>
        </w:rPr>
      </w:pPr>
      <w:r>
        <w:rPr>
          <w:b/>
          <w:bCs/>
        </w:rPr>
        <w:t>4:10-7:00 Tuesdays</w:t>
      </w:r>
    </w:p>
    <w:tbl>
      <w:tblPr>
        <w:tblW w:w="8994" w:type="dxa"/>
        <w:tblCellSpacing w:w="0" w:type="dxa"/>
        <w:tblCellMar>
          <w:top w:w="30" w:type="dxa"/>
          <w:left w:w="30" w:type="dxa"/>
          <w:bottom w:w="30" w:type="dxa"/>
          <w:right w:w="30" w:type="dxa"/>
        </w:tblCellMar>
        <w:tblLook w:val="04A0"/>
      </w:tblPr>
      <w:tblGrid>
        <w:gridCol w:w="66"/>
        <w:gridCol w:w="8928"/>
      </w:tblGrid>
      <w:tr w:rsidR="00ED7111" w:rsidRPr="00ED7111" w:rsidTr="00ED7111">
        <w:trPr>
          <w:tblCellSpacing w:w="0" w:type="dxa"/>
        </w:trPr>
        <w:tc>
          <w:tcPr>
            <w:tcW w:w="0" w:type="auto"/>
            <w:hideMark/>
          </w:tcPr>
          <w:p w:rsidR="00ED7111" w:rsidRDefault="00ED7111" w:rsidP="00ED7111">
            <w:pPr>
              <w:spacing w:after="0"/>
              <w:rPr>
                <w:u w:val="single"/>
              </w:rPr>
            </w:pPr>
          </w:p>
          <w:p w:rsidR="00ED7111" w:rsidRDefault="00ED7111" w:rsidP="00ED7111">
            <w:pPr>
              <w:spacing w:after="0"/>
              <w:rPr>
                <w:u w:val="single"/>
              </w:rPr>
            </w:pPr>
          </w:p>
          <w:p w:rsidR="00ED7111" w:rsidRDefault="00ED7111" w:rsidP="00ED7111">
            <w:pPr>
              <w:spacing w:after="0"/>
              <w:rPr>
                <w:u w:val="single"/>
              </w:rPr>
            </w:pPr>
          </w:p>
          <w:p w:rsidR="00ED7111" w:rsidRDefault="00ED7111" w:rsidP="00ED7111">
            <w:pPr>
              <w:spacing w:after="0"/>
              <w:rPr>
                <w:u w:val="single"/>
              </w:rPr>
            </w:pPr>
          </w:p>
          <w:p w:rsidR="00ED7111" w:rsidRPr="00ED7111" w:rsidRDefault="00ED7111" w:rsidP="00ED7111">
            <w:pPr>
              <w:spacing w:after="0"/>
              <w:rPr>
                <w:u w:val="single"/>
              </w:rPr>
            </w:pPr>
          </w:p>
        </w:tc>
        <w:tc>
          <w:tcPr>
            <w:tcW w:w="8928" w:type="dxa"/>
            <w:vMerge w:val="restart"/>
            <w:hideMark/>
          </w:tcPr>
          <w:p w:rsidR="00ED7111" w:rsidRPr="00ED7111" w:rsidRDefault="00262988" w:rsidP="00ED7111">
            <w:pPr>
              <w:spacing w:after="0"/>
            </w:pPr>
            <w:hyperlink r:id="rId5" w:history="1">
              <w:r w:rsidR="00ED7111" w:rsidRPr="00ED7111">
                <w:rPr>
                  <w:rStyle w:val="Hyperlink"/>
                  <w:color w:val="auto"/>
                  <w:u w:val="none"/>
                </w:rPr>
                <w:t>Mary M Kennedy</w:t>
              </w:r>
            </w:hyperlink>
          </w:p>
          <w:p w:rsidR="00ED7111" w:rsidRPr="00BF6154" w:rsidRDefault="00ED7111" w:rsidP="00ED7111">
            <w:pPr>
              <w:spacing w:after="0"/>
            </w:pPr>
            <w:r w:rsidRPr="00BF6154">
              <w:t>432-5549</w:t>
            </w:r>
          </w:p>
          <w:p w:rsidR="00ED7111" w:rsidRPr="00BF6154" w:rsidRDefault="00ED7111" w:rsidP="00ED7111">
            <w:pPr>
              <w:spacing w:after="0"/>
            </w:pPr>
            <w:r w:rsidRPr="00BF6154">
              <w:t>116 F Erickson Hall</w:t>
            </w:r>
          </w:p>
          <w:p w:rsidR="00ED7111" w:rsidRPr="00ED7111" w:rsidRDefault="00262988" w:rsidP="00ED7111">
            <w:hyperlink r:id="rId6" w:history="1">
              <w:r w:rsidR="00ED7111" w:rsidRPr="00BF6154">
                <w:rPr>
                  <w:rStyle w:val="Hyperlink"/>
                </w:rPr>
                <w:t>mkennedy@msu.edu</w:t>
              </w:r>
            </w:hyperlink>
          </w:p>
        </w:tc>
      </w:tr>
      <w:tr w:rsidR="00ED7111" w:rsidRPr="00BF6154" w:rsidTr="00ED7111">
        <w:trPr>
          <w:tblCellSpacing w:w="0" w:type="dxa"/>
        </w:trPr>
        <w:tc>
          <w:tcPr>
            <w:tcW w:w="0" w:type="auto"/>
            <w:hideMark/>
          </w:tcPr>
          <w:p w:rsidR="00ED7111" w:rsidRPr="00BF6154" w:rsidRDefault="00ED7111" w:rsidP="00ED7111">
            <w:pPr>
              <w:spacing w:after="0"/>
            </w:pPr>
          </w:p>
        </w:tc>
        <w:tc>
          <w:tcPr>
            <w:tcW w:w="8928" w:type="dxa"/>
            <w:vMerge/>
            <w:hideMark/>
          </w:tcPr>
          <w:p w:rsidR="00ED7111" w:rsidRPr="00BF6154" w:rsidRDefault="00ED7111" w:rsidP="00ED7111"/>
        </w:tc>
      </w:tr>
      <w:tr w:rsidR="00ED7111" w:rsidRPr="00BF6154" w:rsidTr="00ED7111">
        <w:trPr>
          <w:tblCellSpacing w:w="0" w:type="dxa"/>
        </w:trPr>
        <w:tc>
          <w:tcPr>
            <w:tcW w:w="0" w:type="auto"/>
            <w:hideMark/>
          </w:tcPr>
          <w:p w:rsidR="00ED7111" w:rsidRPr="00BF6154" w:rsidRDefault="00ED7111" w:rsidP="00ED7111">
            <w:pPr>
              <w:spacing w:after="0"/>
            </w:pPr>
          </w:p>
        </w:tc>
        <w:tc>
          <w:tcPr>
            <w:tcW w:w="8928" w:type="dxa"/>
            <w:vMerge/>
            <w:hideMark/>
          </w:tcPr>
          <w:p w:rsidR="00ED7111" w:rsidRPr="00BF6154" w:rsidRDefault="00ED7111" w:rsidP="00ED7111"/>
        </w:tc>
      </w:tr>
      <w:tr w:rsidR="00ED7111" w:rsidRPr="00BF6154" w:rsidTr="00ED7111">
        <w:trPr>
          <w:tblCellSpacing w:w="0" w:type="dxa"/>
        </w:trPr>
        <w:tc>
          <w:tcPr>
            <w:tcW w:w="0" w:type="auto"/>
            <w:hideMark/>
          </w:tcPr>
          <w:p w:rsidR="00ED7111" w:rsidRPr="00BF6154" w:rsidRDefault="00ED7111" w:rsidP="00ED7111">
            <w:pPr>
              <w:spacing w:after="0"/>
            </w:pPr>
          </w:p>
        </w:tc>
        <w:tc>
          <w:tcPr>
            <w:tcW w:w="8928" w:type="dxa"/>
            <w:vMerge/>
            <w:hideMark/>
          </w:tcPr>
          <w:p w:rsidR="00ED7111" w:rsidRPr="00BF6154" w:rsidRDefault="00ED7111" w:rsidP="00ED7111"/>
        </w:tc>
      </w:tr>
      <w:tr w:rsidR="00ED7111" w:rsidRPr="00BF6154" w:rsidTr="00ED7111">
        <w:trPr>
          <w:tblCellSpacing w:w="0" w:type="dxa"/>
        </w:trPr>
        <w:tc>
          <w:tcPr>
            <w:tcW w:w="0" w:type="auto"/>
            <w:hideMark/>
          </w:tcPr>
          <w:p w:rsidR="00ED7111" w:rsidRPr="00BF6154" w:rsidRDefault="00ED7111" w:rsidP="00ED7111">
            <w:pPr>
              <w:spacing w:after="0"/>
            </w:pPr>
          </w:p>
        </w:tc>
        <w:tc>
          <w:tcPr>
            <w:tcW w:w="8928" w:type="dxa"/>
            <w:vMerge/>
            <w:hideMark/>
          </w:tcPr>
          <w:p w:rsidR="00ED7111" w:rsidRPr="00BF6154" w:rsidRDefault="00ED7111" w:rsidP="00ED7111"/>
        </w:tc>
      </w:tr>
      <w:tr w:rsidR="00ED7111" w:rsidRPr="00BF6154" w:rsidTr="00ED7111">
        <w:trPr>
          <w:tblCellSpacing w:w="0" w:type="dxa"/>
        </w:trPr>
        <w:tc>
          <w:tcPr>
            <w:tcW w:w="0" w:type="auto"/>
            <w:hideMark/>
          </w:tcPr>
          <w:p w:rsidR="00ED7111" w:rsidRPr="00BF6154" w:rsidRDefault="00ED7111" w:rsidP="00ED7111">
            <w:pPr>
              <w:spacing w:after="0"/>
            </w:pPr>
          </w:p>
        </w:tc>
        <w:tc>
          <w:tcPr>
            <w:tcW w:w="8928" w:type="dxa"/>
            <w:vMerge/>
            <w:hideMark/>
          </w:tcPr>
          <w:p w:rsidR="00ED7111" w:rsidRPr="00BF6154" w:rsidRDefault="00ED7111" w:rsidP="00ED7111">
            <w:pPr>
              <w:spacing w:after="0"/>
            </w:pPr>
          </w:p>
        </w:tc>
      </w:tr>
      <w:tr w:rsidR="00BF6154" w:rsidRPr="00BF6154" w:rsidTr="00ED7111">
        <w:trPr>
          <w:tblCellSpacing w:w="0" w:type="dxa"/>
        </w:trPr>
        <w:tc>
          <w:tcPr>
            <w:tcW w:w="0" w:type="auto"/>
            <w:hideMark/>
          </w:tcPr>
          <w:p w:rsidR="00BF6154" w:rsidRPr="00BF6154" w:rsidRDefault="00BF6154" w:rsidP="00ED7111">
            <w:pPr>
              <w:spacing w:after="0"/>
            </w:pPr>
          </w:p>
        </w:tc>
        <w:tc>
          <w:tcPr>
            <w:tcW w:w="8928" w:type="dxa"/>
            <w:hideMark/>
          </w:tcPr>
          <w:p w:rsidR="00BF6154" w:rsidRPr="00BF6154" w:rsidRDefault="00BF6154" w:rsidP="00ED7111">
            <w:pPr>
              <w:spacing w:after="0"/>
            </w:pPr>
          </w:p>
        </w:tc>
      </w:tr>
      <w:tr w:rsidR="00BF6154" w:rsidRPr="00BF6154" w:rsidTr="00ED7111">
        <w:trPr>
          <w:tblCellSpacing w:w="0" w:type="dxa"/>
        </w:trPr>
        <w:tc>
          <w:tcPr>
            <w:tcW w:w="0" w:type="auto"/>
            <w:hideMark/>
          </w:tcPr>
          <w:p w:rsidR="00BF6154" w:rsidRPr="00BF6154" w:rsidRDefault="00BF6154" w:rsidP="00ED7111">
            <w:pPr>
              <w:spacing w:after="0"/>
            </w:pPr>
          </w:p>
        </w:tc>
        <w:tc>
          <w:tcPr>
            <w:tcW w:w="8928" w:type="dxa"/>
            <w:hideMark/>
          </w:tcPr>
          <w:p w:rsidR="00BF6154" w:rsidRPr="00BF6154" w:rsidRDefault="00BF6154" w:rsidP="00ED7111">
            <w:pPr>
              <w:spacing w:after="0"/>
            </w:pPr>
          </w:p>
        </w:tc>
      </w:tr>
      <w:tr w:rsidR="00BF6154" w:rsidRPr="00BF6154" w:rsidTr="00ED7111">
        <w:trPr>
          <w:tblCellSpacing w:w="0" w:type="dxa"/>
        </w:trPr>
        <w:tc>
          <w:tcPr>
            <w:tcW w:w="0" w:type="auto"/>
            <w:hideMark/>
          </w:tcPr>
          <w:p w:rsidR="00BF6154" w:rsidRPr="00BF6154" w:rsidRDefault="00BF6154" w:rsidP="00ED7111">
            <w:pPr>
              <w:spacing w:after="0"/>
            </w:pPr>
          </w:p>
        </w:tc>
        <w:tc>
          <w:tcPr>
            <w:tcW w:w="8928" w:type="dxa"/>
            <w:hideMark/>
          </w:tcPr>
          <w:p w:rsidR="00BF6154" w:rsidRPr="00BF6154" w:rsidRDefault="00BF6154" w:rsidP="00ED7111">
            <w:pPr>
              <w:spacing w:after="0"/>
            </w:pPr>
          </w:p>
        </w:tc>
      </w:tr>
      <w:tr w:rsidR="00BF6154" w:rsidRPr="00BF6154" w:rsidTr="00ED7111">
        <w:trPr>
          <w:tblCellSpacing w:w="0" w:type="dxa"/>
        </w:trPr>
        <w:tc>
          <w:tcPr>
            <w:tcW w:w="0" w:type="auto"/>
            <w:hideMark/>
          </w:tcPr>
          <w:p w:rsidR="00BF6154" w:rsidRPr="00BF6154" w:rsidRDefault="00BF6154" w:rsidP="00ED7111">
            <w:pPr>
              <w:spacing w:after="0"/>
            </w:pPr>
          </w:p>
        </w:tc>
        <w:tc>
          <w:tcPr>
            <w:tcW w:w="8928" w:type="dxa"/>
            <w:hideMark/>
          </w:tcPr>
          <w:p w:rsidR="00BF6154" w:rsidRPr="00BF6154" w:rsidRDefault="00BF6154" w:rsidP="00ED7111">
            <w:pPr>
              <w:spacing w:after="0"/>
            </w:pPr>
          </w:p>
        </w:tc>
      </w:tr>
    </w:tbl>
    <w:p w:rsidR="00BF6154" w:rsidRPr="00BF6154" w:rsidRDefault="00BF6154" w:rsidP="00BF6154">
      <w:r w:rsidRPr="00BF6154">
        <w:rPr>
          <w:b/>
          <w:bCs/>
        </w:rPr>
        <w:t>Course Objectives</w:t>
      </w:r>
    </w:p>
    <w:p w:rsidR="00141F34" w:rsidRDefault="00BF6154" w:rsidP="00BF6154">
      <w:r w:rsidRPr="00BF6154">
        <w:t>This course ex</w:t>
      </w:r>
      <w:r w:rsidR="00ED7111">
        <w:t>amines a variety of</w:t>
      </w:r>
      <w:r w:rsidRPr="00BF6154">
        <w:t xml:space="preserve"> questions about the nature of teacher quality and how policies affect teacher quality. In our readings you will find many definitions of teacher quality. Each is valued by its own advocates and each is affected by policies. Some policies may improve one version of quality but reduce another. We will examine policies that affect teachers or prospective teachers across all their career stages to see how policies influence teacher quality. </w:t>
      </w:r>
    </w:p>
    <w:p w:rsidR="00BF6154" w:rsidRDefault="00141F34" w:rsidP="00BF6154">
      <w:r w:rsidRPr="00141F34">
        <w:t xml:space="preserve">We will also examine different varieties of scholarship that address policy questions and ask how these different genres help us answer our practical questions. </w:t>
      </w:r>
      <w:r w:rsidR="00BF6154" w:rsidRPr="00BF6154">
        <w:t>The weekly readings will differ in the extent to which they are conceptual, empirical, dispassionate or passionate. As we re</w:t>
      </w:r>
      <w:r>
        <w:t xml:space="preserve">ad these, you will need to </w:t>
      </w:r>
      <w:r w:rsidR="00BF6154" w:rsidRPr="00BF6154">
        <w:t>think about the merits of these different approaches to studying the question of policy and teacher quality.</w:t>
      </w:r>
    </w:p>
    <w:p w:rsidR="00E17D30" w:rsidRPr="00BF6154" w:rsidRDefault="00E17D30" w:rsidP="00BF6154">
      <w:r>
        <w:t>All of the papers you will read are available on the course Angel site, under a tab called “lessons.” There is a folder for each weekly topic. Many of these papers are heavily statistical because that is becoming the nature of policy research.  To help you understand these papers, I include a folder at the bottom of this page that includes articles that provide explanations of some of the statistical concepts we will confront. The material in this folder is not required but, depending on your background, it may be necessary for you to understand the required material</w:t>
      </w:r>
      <w:proofErr w:type="gramStart"/>
      <w:r>
        <w:t>..</w:t>
      </w:r>
      <w:proofErr w:type="gramEnd"/>
    </w:p>
    <w:p w:rsidR="00BF6154" w:rsidRPr="00BF6154" w:rsidRDefault="00BF6154" w:rsidP="00BF6154">
      <w:r w:rsidRPr="00BF6154">
        <w:rPr>
          <w:b/>
          <w:bCs/>
        </w:rPr>
        <w:t>Tentative Schedule</w:t>
      </w:r>
    </w:p>
    <w:p w:rsidR="00BF6154" w:rsidRDefault="00BF6154" w:rsidP="00BF6154">
      <w:r w:rsidRPr="00BF6154">
        <w:t xml:space="preserve">The course is organized around the employment pipeline. We will ask how policies affect teachers and teaching at each stage in a teacher's career: as a college student who could potentially </w:t>
      </w:r>
      <w:r w:rsidR="00141F34">
        <w:t>decide to enter</w:t>
      </w:r>
      <w:r w:rsidRPr="00BF6154">
        <w:t xml:space="preserve"> teaching, as a student enrolled in teacher education, as a graduate seeking certification, as a certified teacher seeking a job, as a novice teacher, a tenured teacher, or a teacher who </w:t>
      </w:r>
      <w:r w:rsidR="00141F34">
        <w:t>could be rewarded, honored, or</w:t>
      </w:r>
      <w:r w:rsidRPr="00BF6154">
        <w:t xml:space="preserve"> dismissed. </w:t>
      </w:r>
    </w:p>
    <w:tbl>
      <w:tblPr>
        <w:tblStyle w:val="TableGrid"/>
        <w:tblW w:w="8867" w:type="dxa"/>
        <w:tblLayout w:type="fixed"/>
        <w:tblLook w:val="04A0"/>
      </w:tblPr>
      <w:tblGrid>
        <w:gridCol w:w="741"/>
        <w:gridCol w:w="1617"/>
        <w:gridCol w:w="6509"/>
      </w:tblGrid>
      <w:tr w:rsidR="00BF6154" w:rsidTr="004F27CA">
        <w:tc>
          <w:tcPr>
            <w:tcW w:w="741" w:type="dxa"/>
          </w:tcPr>
          <w:p w:rsidR="00BF6154" w:rsidRDefault="00BF6154" w:rsidP="00BF6154">
            <w:r>
              <w:t>Date</w:t>
            </w:r>
          </w:p>
        </w:tc>
        <w:tc>
          <w:tcPr>
            <w:tcW w:w="1617" w:type="dxa"/>
          </w:tcPr>
          <w:p w:rsidR="00BF6154" w:rsidRDefault="00BF6154" w:rsidP="00BF6154">
            <w:r>
              <w:t xml:space="preserve">Issue/ </w:t>
            </w:r>
            <w:r w:rsidR="00141F34">
              <w:br/>
            </w:r>
            <w:r>
              <w:t>Events</w:t>
            </w:r>
          </w:p>
        </w:tc>
        <w:tc>
          <w:tcPr>
            <w:tcW w:w="6509" w:type="dxa"/>
          </w:tcPr>
          <w:p w:rsidR="00BF6154" w:rsidRDefault="00BF6154" w:rsidP="00BF6154">
            <w:r>
              <w:t>Readings</w:t>
            </w:r>
          </w:p>
        </w:tc>
      </w:tr>
      <w:tr w:rsidR="00BF6154" w:rsidTr="004F27CA">
        <w:tc>
          <w:tcPr>
            <w:tcW w:w="741" w:type="dxa"/>
          </w:tcPr>
          <w:p w:rsidR="00BF6154" w:rsidRDefault="00BF6154" w:rsidP="00BF6154">
            <w:r>
              <w:t>Sep</w:t>
            </w:r>
            <w:r w:rsidR="00141F34">
              <w:br/>
            </w:r>
            <w:r>
              <w:t xml:space="preserve"> 7</w:t>
            </w:r>
          </w:p>
        </w:tc>
        <w:tc>
          <w:tcPr>
            <w:tcW w:w="1617" w:type="dxa"/>
          </w:tcPr>
          <w:p w:rsidR="00BF6154" w:rsidRDefault="00BF6154" w:rsidP="00BF6154">
            <w:r>
              <w:t>Orientation to the course</w:t>
            </w:r>
          </w:p>
        </w:tc>
        <w:tc>
          <w:tcPr>
            <w:tcW w:w="6509" w:type="dxa"/>
          </w:tcPr>
          <w:p w:rsidR="00BF6154" w:rsidRDefault="00BF6154" w:rsidP="00DA4D93">
            <w:pPr>
              <w:pStyle w:val="ReferenceList"/>
            </w:pPr>
            <w:r w:rsidRPr="00BF6154">
              <w:t xml:space="preserve">Kennedy, M. M. (2004). Examining teacher quality. In F. Lester &amp; J. </w:t>
            </w:r>
            <w:proofErr w:type="spellStart"/>
            <w:r w:rsidRPr="00BF6154">
              <w:t>Ferrini</w:t>
            </w:r>
            <w:proofErr w:type="spellEnd"/>
            <w:r w:rsidRPr="00BF6154">
              <w:t xml:space="preserve">-Mundy (Eds.), </w:t>
            </w:r>
            <w:r w:rsidRPr="00BF6154">
              <w:rPr>
                <w:i/>
                <w:iCs/>
              </w:rPr>
              <w:t>Proceedings of the NCTM Research Catalyst Conference</w:t>
            </w:r>
            <w:r w:rsidRPr="00BF6154">
              <w:t>. Washington DC: National Council of Teachers of Mathematics.</w:t>
            </w:r>
          </w:p>
          <w:p w:rsidR="00DA4D93" w:rsidRDefault="00DA4D93" w:rsidP="00DA4D93">
            <w:pPr>
              <w:pStyle w:val="ReferenceList"/>
            </w:pPr>
            <w:r w:rsidRPr="00DA4D93">
              <w:t xml:space="preserve">Harris, D. N., &amp; </w:t>
            </w:r>
            <w:proofErr w:type="spellStart"/>
            <w:r w:rsidRPr="00DA4D93">
              <w:t>Routledge</w:t>
            </w:r>
            <w:proofErr w:type="spellEnd"/>
            <w:r w:rsidRPr="00DA4D93">
              <w:t xml:space="preserve">, S. A. (2010). Models and Predictors of Teacher Effectiveness: A Comparison of Research About Teaching and Other Occupations. </w:t>
            </w:r>
            <w:r w:rsidRPr="00DA4D93">
              <w:rPr>
                <w:i/>
                <w:iCs/>
              </w:rPr>
              <w:t>Teachers College Record, 112</w:t>
            </w:r>
            <w:r w:rsidRPr="00DA4D93">
              <w:t>, 914-960.</w:t>
            </w:r>
          </w:p>
        </w:tc>
      </w:tr>
      <w:tr w:rsidR="00BF6154" w:rsidTr="004F27CA">
        <w:tc>
          <w:tcPr>
            <w:tcW w:w="741" w:type="dxa"/>
          </w:tcPr>
          <w:p w:rsidR="00BF6154" w:rsidRDefault="00BF6154" w:rsidP="00BF6154">
            <w:r>
              <w:t xml:space="preserve">Sep </w:t>
            </w:r>
            <w:r>
              <w:lastRenderedPageBreak/>
              <w:t>14</w:t>
            </w:r>
          </w:p>
        </w:tc>
        <w:tc>
          <w:tcPr>
            <w:tcW w:w="1617" w:type="dxa"/>
          </w:tcPr>
          <w:p w:rsidR="00BF6154" w:rsidRDefault="00BF6154" w:rsidP="00BF6154">
            <w:r>
              <w:lastRenderedPageBreak/>
              <w:t xml:space="preserve">Recruitment and Teacher </w:t>
            </w:r>
            <w:r>
              <w:lastRenderedPageBreak/>
              <w:t>Quality</w:t>
            </w:r>
          </w:p>
        </w:tc>
        <w:tc>
          <w:tcPr>
            <w:tcW w:w="6509" w:type="dxa"/>
          </w:tcPr>
          <w:p w:rsidR="00BF6154" w:rsidRDefault="00DA4D93" w:rsidP="00DA4D93">
            <w:pPr>
              <w:pStyle w:val="ReferenceList"/>
            </w:pPr>
            <w:proofErr w:type="spellStart"/>
            <w:r w:rsidRPr="00DA4D93">
              <w:lastRenderedPageBreak/>
              <w:t>Brookhart</w:t>
            </w:r>
            <w:proofErr w:type="spellEnd"/>
            <w:r w:rsidRPr="00DA4D93">
              <w:t xml:space="preserve">, S. M., &amp; Freeman, D. J. (1992). Characteristics of entering teacher candidates. </w:t>
            </w:r>
            <w:r w:rsidRPr="00DA4D93">
              <w:rPr>
                <w:i/>
                <w:iCs/>
              </w:rPr>
              <w:t>Review of Educational Research, 62</w:t>
            </w:r>
            <w:r w:rsidRPr="00DA4D93">
              <w:t>(1), 37-60.</w:t>
            </w:r>
          </w:p>
          <w:p w:rsidR="00DA4D93" w:rsidRDefault="00DA4D93" w:rsidP="00DA4D93">
            <w:pPr>
              <w:pStyle w:val="ReferenceList"/>
            </w:pPr>
            <w:proofErr w:type="spellStart"/>
            <w:r w:rsidRPr="00DA4D93">
              <w:lastRenderedPageBreak/>
              <w:t>Farkas</w:t>
            </w:r>
            <w:proofErr w:type="spellEnd"/>
            <w:r w:rsidRPr="00DA4D93">
              <w:t xml:space="preserve">, S., Johnson, J., &amp; </w:t>
            </w:r>
            <w:proofErr w:type="spellStart"/>
            <w:r w:rsidRPr="00DA4D93">
              <w:t>Faleno</w:t>
            </w:r>
            <w:proofErr w:type="spellEnd"/>
            <w:r w:rsidRPr="00DA4D93">
              <w:t xml:space="preserve">, J. (2000). </w:t>
            </w:r>
            <w:r w:rsidRPr="00DA4D93">
              <w:rPr>
                <w:i/>
                <w:iCs/>
              </w:rPr>
              <w:t>A sense of calling: Who teaches and why</w:t>
            </w:r>
            <w:r w:rsidRPr="00DA4D93">
              <w:t>. Washington DC: Public Agenda.</w:t>
            </w:r>
          </w:p>
          <w:p w:rsidR="00DA4D93" w:rsidRDefault="00DA4D93" w:rsidP="00DA4D93">
            <w:pPr>
              <w:pStyle w:val="ReferenceList"/>
            </w:pPr>
            <w:r w:rsidRPr="00DA4D93">
              <w:t xml:space="preserve">Corcoran, S. P., </w:t>
            </w:r>
            <w:proofErr w:type="spellStart"/>
            <w:r w:rsidRPr="00DA4D93">
              <w:t>M.Evans</w:t>
            </w:r>
            <w:proofErr w:type="spellEnd"/>
            <w:r w:rsidRPr="00DA4D93">
              <w:t xml:space="preserve">, W., &amp; Schwab, R. M. (2002). Changing Labor Market Opportunities for Women and the Quality of Teachers, 1957-2000. </w:t>
            </w:r>
            <w:r w:rsidRPr="00DA4D93">
              <w:rPr>
                <w:i/>
                <w:iCs/>
              </w:rPr>
              <w:t>American Economic Review, 94</w:t>
            </w:r>
            <w:r w:rsidRPr="00DA4D93">
              <w:t>(2), 230-235.</w:t>
            </w:r>
          </w:p>
        </w:tc>
      </w:tr>
      <w:tr w:rsidR="00BF6154" w:rsidTr="004F27CA">
        <w:tc>
          <w:tcPr>
            <w:tcW w:w="741" w:type="dxa"/>
          </w:tcPr>
          <w:p w:rsidR="00BF6154" w:rsidRDefault="00BF6154" w:rsidP="00BF6154">
            <w:r>
              <w:lastRenderedPageBreak/>
              <w:t>Sep 21</w:t>
            </w:r>
          </w:p>
        </w:tc>
        <w:tc>
          <w:tcPr>
            <w:tcW w:w="1617" w:type="dxa"/>
          </w:tcPr>
          <w:p w:rsidR="00BF6154" w:rsidRDefault="00BF6154" w:rsidP="00BF6154">
            <w:r>
              <w:t>Teacher Education and Teacher Quality</w:t>
            </w:r>
          </w:p>
        </w:tc>
        <w:tc>
          <w:tcPr>
            <w:tcW w:w="6509" w:type="dxa"/>
          </w:tcPr>
          <w:p w:rsidR="00BF6154" w:rsidRDefault="00DA4D93" w:rsidP="00DA4D93">
            <w:pPr>
              <w:pStyle w:val="ReferenceList"/>
            </w:pPr>
            <w:r w:rsidRPr="00DA4D93">
              <w:t xml:space="preserve">Kennedy, M. M. (2008). Contributions of Qualitative Research to Research on Teacher Qualifications. </w:t>
            </w:r>
            <w:r w:rsidRPr="00DA4D93">
              <w:rPr>
                <w:i/>
                <w:iCs/>
              </w:rPr>
              <w:t>Educational Evaluation and Policy Analysis, 30</w:t>
            </w:r>
            <w:r w:rsidRPr="00DA4D93">
              <w:t>(4), 344-367</w:t>
            </w:r>
          </w:p>
          <w:p w:rsidR="00DA4D93" w:rsidRDefault="00DA4D93" w:rsidP="00DA4D93">
            <w:pPr>
              <w:pStyle w:val="ReferenceList"/>
            </w:pPr>
            <w:r w:rsidRPr="00DA4D93">
              <w:t xml:space="preserve">Boyd, D., Grossman, P. A., </w:t>
            </w:r>
            <w:proofErr w:type="spellStart"/>
            <w:r w:rsidRPr="00DA4D93">
              <w:t>Hammerness</w:t>
            </w:r>
            <w:proofErr w:type="spellEnd"/>
            <w:r w:rsidRPr="00DA4D93">
              <w:t xml:space="preserve">, K., Lankford, R. H., Loeb, S., McDonald, M., et al. (2008). Surveying the landscape of teacher education in New York:  Constrained variation and the challenge of innovation. </w:t>
            </w:r>
            <w:r w:rsidRPr="00DA4D93">
              <w:rPr>
                <w:i/>
                <w:iCs/>
              </w:rPr>
              <w:t>Educational Evaluation and Policy Analysis, 30</w:t>
            </w:r>
            <w:r w:rsidRPr="00DA4D93">
              <w:t>(4), 319-343.</w:t>
            </w:r>
          </w:p>
          <w:p w:rsidR="00DA4D93" w:rsidRDefault="00DA4D93" w:rsidP="00DA4D93">
            <w:pPr>
              <w:pStyle w:val="ReferenceList"/>
            </w:pPr>
            <w:r w:rsidRPr="00DA4D93">
              <w:t xml:space="preserve">Darling-Hammond, L., &amp; </w:t>
            </w:r>
            <w:proofErr w:type="spellStart"/>
            <w:r w:rsidRPr="00DA4D93">
              <w:t>Baratz</w:t>
            </w:r>
            <w:proofErr w:type="spellEnd"/>
            <w:r w:rsidRPr="00DA4D93">
              <w:t xml:space="preserve">-Snowden, J. (2007). A good teacher in every classroom: The National Academy of Education Committee on Teacher Education. </w:t>
            </w:r>
            <w:r w:rsidRPr="00DA4D93">
              <w:rPr>
                <w:i/>
                <w:iCs/>
              </w:rPr>
              <w:t>Educational Horizons</w:t>
            </w:r>
            <w:r w:rsidRPr="00DA4D93">
              <w:t>(Winter), 111-13</w:t>
            </w:r>
          </w:p>
        </w:tc>
      </w:tr>
      <w:tr w:rsidR="00BF6154" w:rsidTr="004F27CA">
        <w:tc>
          <w:tcPr>
            <w:tcW w:w="741" w:type="dxa"/>
          </w:tcPr>
          <w:p w:rsidR="00BF6154" w:rsidRDefault="00BF6154" w:rsidP="00BF6154">
            <w:r>
              <w:t>Sep 28</w:t>
            </w:r>
          </w:p>
        </w:tc>
        <w:tc>
          <w:tcPr>
            <w:tcW w:w="1617" w:type="dxa"/>
          </w:tcPr>
          <w:p w:rsidR="00BF6154" w:rsidRDefault="00BF6154" w:rsidP="00BF6154">
            <w:r>
              <w:t>Credentials and Qualifications to teach</w:t>
            </w:r>
          </w:p>
        </w:tc>
        <w:tc>
          <w:tcPr>
            <w:tcW w:w="6509" w:type="dxa"/>
          </w:tcPr>
          <w:p w:rsidR="00BF6154" w:rsidRDefault="00141F34" w:rsidP="00DA4D93">
            <w:pPr>
              <w:pStyle w:val="ReferenceList"/>
            </w:pPr>
            <w:r w:rsidRPr="00141F34">
              <w:t xml:space="preserve">Nye, B., </w:t>
            </w:r>
            <w:proofErr w:type="spellStart"/>
            <w:r w:rsidRPr="00141F34">
              <w:t>Konstantopoulos</w:t>
            </w:r>
            <w:proofErr w:type="spellEnd"/>
            <w:r w:rsidRPr="00141F34">
              <w:t xml:space="preserve">, S., &amp; Hedges, L. V. (2004). How large are teacher effects? </w:t>
            </w:r>
            <w:r w:rsidRPr="00141F34">
              <w:rPr>
                <w:i/>
                <w:iCs/>
              </w:rPr>
              <w:t>Education Evaluation and Policy Analysis, 26</w:t>
            </w:r>
            <w:r w:rsidRPr="00141F34">
              <w:t>(3), 237-257.</w:t>
            </w:r>
          </w:p>
          <w:p w:rsidR="00141F34" w:rsidRDefault="00141F34" w:rsidP="00DA4D93">
            <w:pPr>
              <w:pStyle w:val="ReferenceList"/>
            </w:pPr>
            <w:r w:rsidRPr="00141F34">
              <w:t xml:space="preserve">Boyd, D., Grossman, P., Lankford, H., Loeb, S., &amp; Wyckoff, J. (2009). Teacher preparation and student achievement. </w:t>
            </w:r>
            <w:r w:rsidRPr="00141F34">
              <w:rPr>
                <w:i/>
                <w:iCs/>
              </w:rPr>
              <w:t>Education Evaluation and Policy Analysis, 31</w:t>
            </w:r>
            <w:r w:rsidRPr="00141F34">
              <w:t>(4), 416-440.</w:t>
            </w:r>
          </w:p>
          <w:p w:rsidR="00141F34" w:rsidRDefault="00141F34" w:rsidP="00DA4D93">
            <w:pPr>
              <w:pStyle w:val="ReferenceList"/>
            </w:pPr>
            <w:r w:rsidRPr="00141F34">
              <w:t xml:space="preserve">Boyd, D., Grossman, P., </w:t>
            </w:r>
            <w:proofErr w:type="spellStart"/>
            <w:r w:rsidRPr="00141F34">
              <w:t>Hammerness</w:t>
            </w:r>
            <w:proofErr w:type="spellEnd"/>
            <w:r w:rsidRPr="00141F34">
              <w:t xml:space="preserve">, K., Lankford, H., Loeb, S., </w:t>
            </w:r>
            <w:proofErr w:type="spellStart"/>
            <w:r w:rsidRPr="00141F34">
              <w:t>Ronfeldt</w:t>
            </w:r>
            <w:proofErr w:type="spellEnd"/>
            <w:r w:rsidRPr="00141F34">
              <w:t>, M., et al. (2010). Recruiting effective math teachers: How do math immersion teachers compare?  Evidence from New York City. Cambridge MA: National Bureau of Economic Research</w:t>
            </w:r>
          </w:p>
        </w:tc>
      </w:tr>
      <w:tr w:rsidR="00BF6154" w:rsidTr="004F27CA">
        <w:tc>
          <w:tcPr>
            <w:tcW w:w="741" w:type="dxa"/>
          </w:tcPr>
          <w:p w:rsidR="00BF6154" w:rsidRDefault="00BF6154" w:rsidP="00BF6154">
            <w:r>
              <w:t xml:space="preserve">Oct </w:t>
            </w:r>
            <w:r w:rsidR="00141F34">
              <w:br/>
            </w:r>
            <w:r>
              <w:t>5</w:t>
            </w:r>
          </w:p>
        </w:tc>
        <w:tc>
          <w:tcPr>
            <w:tcW w:w="1617" w:type="dxa"/>
          </w:tcPr>
          <w:p w:rsidR="00BF6154" w:rsidRDefault="00BF6154" w:rsidP="00BF6154">
            <w:r>
              <w:t>CLASS DEBATE: value of teacher education</w:t>
            </w:r>
          </w:p>
        </w:tc>
        <w:tc>
          <w:tcPr>
            <w:tcW w:w="6509" w:type="dxa"/>
          </w:tcPr>
          <w:p w:rsidR="00BF6154" w:rsidRDefault="00141F34" w:rsidP="00DA4D93">
            <w:pPr>
              <w:pStyle w:val="ReferenceList"/>
            </w:pPr>
            <w:proofErr w:type="spellStart"/>
            <w:r w:rsidRPr="00141F34">
              <w:t>Farkas</w:t>
            </w:r>
            <w:proofErr w:type="spellEnd"/>
            <w:r w:rsidRPr="00141F34">
              <w:t xml:space="preserve">, S., Johnson, J., &amp; </w:t>
            </w:r>
            <w:proofErr w:type="spellStart"/>
            <w:r w:rsidRPr="00141F34">
              <w:t>Duffett</w:t>
            </w:r>
            <w:proofErr w:type="spellEnd"/>
            <w:r w:rsidRPr="00141F34">
              <w:t xml:space="preserve">, A. (1997). </w:t>
            </w:r>
            <w:r w:rsidRPr="00141F34">
              <w:rPr>
                <w:i/>
                <w:iCs/>
              </w:rPr>
              <w:t>Different Drummers: How teachers of teachers view public education</w:t>
            </w:r>
            <w:r w:rsidRPr="00141F34">
              <w:t xml:space="preserve">. New York: Public Agenda. Retrieved  from </w:t>
            </w:r>
            <w:hyperlink r:id="rId7" w:history="1">
              <w:r w:rsidRPr="00BC7995">
                <w:rPr>
                  <w:rStyle w:val="Hyperlink"/>
                </w:rPr>
                <w:t>www.publicagenda.org</w:t>
              </w:r>
            </w:hyperlink>
          </w:p>
          <w:p w:rsidR="00141F34" w:rsidRDefault="00141F34" w:rsidP="00DA4D93">
            <w:pPr>
              <w:pStyle w:val="ReferenceList"/>
            </w:pPr>
            <w:r w:rsidRPr="00141F34">
              <w:t xml:space="preserve">Hess, F. M. (2001). </w:t>
            </w:r>
            <w:r w:rsidRPr="00141F34">
              <w:rPr>
                <w:i/>
                <w:iCs/>
              </w:rPr>
              <w:t>Tear Down this Wall: The case for a Radical Overhaul of Teacher Certification</w:t>
            </w:r>
            <w:r w:rsidRPr="00141F34">
              <w:t>: Progressive Policy Institute. Retrieved  from</w:t>
            </w:r>
          </w:p>
          <w:p w:rsidR="00141F34" w:rsidRDefault="00141F34" w:rsidP="00DA4D93">
            <w:pPr>
              <w:pStyle w:val="ReferenceList"/>
            </w:pPr>
            <w:r w:rsidRPr="00141F34">
              <w:t xml:space="preserve">Greenberg, E., Skidmore, D., Rhodes, D., &amp; Nesbitt, D. (2002). </w:t>
            </w:r>
            <w:r w:rsidRPr="00141F34">
              <w:rPr>
                <w:i/>
                <w:iCs/>
              </w:rPr>
              <w:t>Prepared to teach:  Teacher Preparation and Student Achievement in Mathematics and Science</w:t>
            </w:r>
            <w:r w:rsidRPr="00141F34">
              <w:t>: American Institutes for Education. Retrieved  from</w:t>
            </w:r>
          </w:p>
        </w:tc>
      </w:tr>
      <w:tr w:rsidR="00BF6154" w:rsidTr="004F27CA">
        <w:tc>
          <w:tcPr>
            <w:tcW w:w="741" w:type="dxa"/>
          </w:tcPr>
          <w:p w:rsidR="00BF6154" w:rsidRDefault="00BF6154" w:rsidP="00BF6154">
            <w:r>
              <w:t>Oct 12</w:t>
            </w:r>
          </w:p>
        </w:tc>
        <w:tc>
          <w:tcPr>
            <w:tcW w:w="1617" w:type="dxa"/>
          </w:tcPr>
          <w:p w:rsidR="00BF6154" w:rsidRDefault="00BF6154" w:rsidP="00BF6154">
            <w:r>
              <w:t>Licensure Exams and Teacher Quality</w:t>
            </w:r>
          </w:p>
        </w:tc>
        <w:tc>
          <w:tcPr>
            <w:tcW w:w="6509" w:type="dxa"/>
          </w:tcPr>
          <w:p w:rsidR="00BF6154" w:rsidRDefault="00082975" w:rsidP="00DA4D93">
            <w:pPr>
              <w:pStyle w:val="ReferenceList"/>
            </w:pPr>
            <w:r w:rsidRPr="00082975">
              <w:t xml:space="preserve">Mitchell, R., &amp; Barth, P. (1999). How Teacher Licensing Tests Fall Short. </w:t>
            </w:r>
            <w:r w:rsidRPr="00082975">
              <w:rPr>
                <w:i/>
                <w:iCs/>
              </w:rPr>
              <w:t>Thinking K-16, 3</w:t>
            </w:r>
            <w:r w:rsidRPr="00082975">
              <w:t>(1), 3-24.</w:t>
            </w:r>
          </w:p>
          <w:p w:rsidR="00082975" w:rsidRDefault="00082975" w:rsidP="00DA4D93">
            <w:pPr>
              <w:pStyle w:val="ReferenceList"/>
            </w:pPr>
            <w:r w:rsidRPr="00082975">
              <w:t xml:space="preserve">Chaplin, D., </w:t>
            </w:r>
            <w:proofErr w:type="spellStart"/>
            <w:r w:rsidRPr="00082975">
              <w:t>Glazerman</w:t>
            </w:r>
            <w:proofErr w:type="spellEnd"/>
            <w:r w:rsidRPr="00082975">
              <w:t xml:space="preserve">, S., Baxter, G., &amp; </w:t>
            </w:r>
            <w:proofErr w:type="spellStart"/>
            <w:r w:rsidRPr="00082975">
              <w:t>Seif</w:t>
            </w:r>
            <w:proofErr w:type="spellEnd"/>
            <w:r w:rsidRPr="00082975">
              <w:t xml:space="preserve">, E. (2007). </w:t>
            </w:r>
            <w:r w:rsidRPr="00082975">
              <w:rPr>
                <w:i/>
                <w:iCs/>
              </w:rPr>
              <w:t>Teacher licensure exams: How do they compare?</w:t>
            </w:r>
            <w:r w:rsidRPr="00082975">
              <w:t xml:space="preserve"> Paper presented at the American Educational Research Association, Chicago</w:t>
            </w:r>
          </w:p>
          <w:p w:rsidR="00082975" w:rsidRDefault="00082975" w:rsidP="00DA4D93">
            <w:pPr>
              <w:pStyle w:val="ReferenceList"/>
            </w:pPr>
            <w:proofErr w:type="spellStart"/>
            <w:r w:rsidRPr="00082975">
              <w:t>Goldhaber</w:t>
            </w:r>
            <w:proofErr w:type="spellEnd"/>
            <w:r w:rsidRPr="00082975">
              <w:t xml:space="preserve">, D. (2007). Everyone’s Doing It, But What Does Teacher Testing Tell Us About Teacher Effectiveness? </w:t>
            </w:r>
            <w:r w:rsidRPr="00082975">
              <w:rPr>
                <w:i/>
                <w:iCs/>
              </w:rPr>
              <w:t>Journal of Human Resources, 42</w:t>
            </w:r>
            <w:r w:rsidRPr="00082975">
              <w:t>(4), 765-794.</w:t>
            </w:r>
          </w:p>
        </w:tc>
      </w:tr>
      <w:tr w:rsidR="00BF6154" w:rsidTr="004F27CA">
        <w:tc>
          <w:tcPr>
            <w:tcW w:w="741" w:type="dxa"/>
          </w:tcPr>
          <w:p w:rsidR="00BF6154" w:rsidRDefault="00BF6154" w:rsidP="00BF6154">
            <w:r>
              <w:t>Oct 19</w:t>
            </w:r>
          </w:p>
        </w:tc>
        <w:tc>
          <w:tcPr>
            <w:tcW w:w="1617" w:type="dxa"/>
          </w:tcPr>
          <w:p w:rsidR="00BF6154" w:rsidRDefault="00BF6154" w:rsidP="00BF6154">
            <w:r>
              <w:t>MIDTERM BOOK REVIEWS DUE</w:t>
            </w:r>
          </w:p>
        </w:tc>
        <w:tc>
          <w:tcPr>
            <w:tcW w:w="6509" w:type="dxa"/>
          </w:tcPr>
          <w:p w:rsidR="00BF6154" w:rsidRDefault="00BF6154" w:rsidP="00DA4D93">
            <w:pPr>
              <w:pStyle w:val="ReferenceList"/>
            </w:pPr>
          </w:p>
        </w:tc>
      </w:tr>
      <w:tr w:rsidR="00BF6154" w:rsidTr="004F27CA">
        <w:tc>
          <w:tcPr>
            <w:tcW w:w="741" w:type="dxa"/>
          </w:tcPr>
          <w:p w:rsidR="00BF6154" w:rsidRDefault="00BF6154" w:rsidP="00BF6154">
            <w:r>
              <w:t>Oct 26</w:t>
            </w:r>
          </w:p>
        </w:tc>
        <w:tc>
          <w:tcPr>
            <w:tcW w:w="1617" w:type="dxa"/>
          </w:tcPr>
          <w:p w:rsidR="00BF6154" w:rsidRDefault="00BF6154" w:rsidP="00BF6154">
            <w:r>
              <w:t>District hiring practices and teacher quality</w:t>
            </w:r>
          </w:p>
        </w:tc>
        <w:tc>
          <w:tcPr>
            <w:tcW w:w="6509" w:type="dxa"/>
          </w:tcPr>
          <w:p w:rsidR="00BF6154" w:rsidRDefault="00082975" w:rsidP="00DA4D93">
            <w:pPr>
              <w:pStyle w:val="ReferenceList"/>
            </w:pPr>
            <w:r w:rsidRPr="00082975">
              <w:t xml:space="preserve">Strauss, R. P., Bowes, L. R., Marks, M. S., &amp; </w:t>
            </w:r>
            <w:proofErr w:type="spellStart"/>
            <w:r w:rsidRPr="00082975">
              <w:t>Plesko</w:t>
            </w:r>
            <w:proofErr w:type="spellEnd"/>
            <w:r w:rsidRPr="00082975">
              <w:t xml:space="preserve">, M. R. (2000). Improving teacher preparation and selection: Lessons from the Pennsylvania experience. </w:t>
            </w:r>
            <w:r w:rsidRPr="00082975">
              <w:rPr>
                <w:i/>
                <w:iCs/>
              </w:rPr>
              <w:t>Economics of Education Review, 19</w:t>
            </w:r>
            <w:r w:rsidRPr="00082975">
              <w:t>, 387-415.</w:t>
            </w:r>
          </w:p>
          <w:p w:rsidR="00082975" w:rsidRDefault="00082975" w:rsidP="00DA4D93">
            <w:pPr>
              <w:pStyle w:val="ReferenceList"/>
            </w:pPr>
            <w:r w:rsidRPr="00082975">
              <w:t xml:space="preserve">Liu, E., &amp; Johnson, S. M. (2006). New Teachers' Experiences of hiring: Late, rushed, and information-poor. </w:t>
            </w:r>
            <w:r w:rsidRPr="00082975">
              <w:rPr>
                <w:i/>
                <w:iCs/>
              </w:rPr>
              <w:t>Educational Administration Quarterly, 42</w:t>
            </w:r>
            <w:r w:rsidRPr="00082975">
              <w:t>(3), 324-360.</w:t>
            </w:r>
          </w:p>
          <w:p w:rsidR="00082975" w:rsidRDefault="00082975" w:rsidP="00DA4D93">
            <w:pPr>
              <w:pStyle w:val="ReferenceList"/>
            </w:pPr>
            <w:r w:rsidRPr="00082975">
              <w:lastRenderedPageBreak/>
              <w:t xml:space="preserve">Metzger, S. A., &amp; Wu, M.-J. (2008). Commercial teacher selection instruments: The validity of selecting teachers through beliefs, attitudes and values. </w:t>
            </w:r>
            <w:r w:rsidRPr="00082975">
              <w:rPr>
                <w:i/>
                <w:iCs/>
              </w:rPr>
              <w:t>Review of Educational Research, 78</w:t>
            </w:r>
            <w:r w:rsidRPr="00082975">
              <w:t>(4), 921-940.</w:t>
            </w:r>
          </w:p>
        </w:tc>
      </w:tr>
      <w:tr w:rsidR="00BF6154" w:rsidTr="004F27CA">
        <w:tc>
          <w:tcPr>
            <w:tcW w:w="741" w:type="dxa"/>
          </w:tcPr>
          <w:p w:rsidR="00BF6154" w:rsidRDefault="00BF6154" w:rsidP="00BF6154">
            <w:r>
              <w:lastRenderedPageBreak/>
              <w:t>Nov 2</w:t>
            </w:r>
          </w:p>
        </w:tc>
        <w:tc>
          <w:tcPr>
            <w:tcW w:w="1617" w:type="dxa"/>
          </w:tcPr>
          <w:p w:rsidR="00BF6154" w:rsidRDefault="00BF6154" w:rsidP="00BF6154">
            <w:r>
              <w:t>Allocation of teachers to schools and students</w:t>
            </w:r>
          </w:p>
        </w:tc>
        <w:tc>
          <w:tcPr>
            <w:tcW w:w="6509" w:type="dxa"/>
          </w:tcPr>
          <w:p w:rsidR="00BF6154" w:rsidRDefault="00082975" w:rsidP="00DA4D93">
            <w:pPr>
              <w:pStyle w:val="ReferenceList"/>
            </w:pPr>
            <w:r w:rsidRPr="00082975">
              <w:t>Boyd, D., Lankford, H., Loeb, S., &amp; Wyckoff, J. (2002). Initial Matches, Transfers, and Quits: Career Decisions and the Disparities in Average Teacher Qualifications Across Schools.</w:t>
            </w:r>
          </w:p>
          <w:p w:rsidR="00082975" w:rsidRDefault="00082975" w:rsidP="00DA4D93">
            <w:pPr>
              <w:pStyle w:val="ReferenceList"/>
            </w:pPr>
            <w:r w:rsidRPr="00082975">
              <w:t xml:space="preserve">Levin, J., </w:t>
            </w:r>
            <w:proofErr w:type="spellStart"/>
            <w:r w:rsidRPr="00082975">
              <w:t>Mulhern</w:t>
            </w:r>
            <w:proofErr w:type="spellEnd"/>
            <w:r w:rsidRPr="00082975">
              <w:t xml:space="preserve">, J., &amp; </w:t>
            </w:r>
            <w:proofErr w:type="spellStart"/>
            <w:r w:rsidRPr="00082975">
              <w:t>Schumck</w:t>
            </w:r>
            <w:proofErr w:type="spellEnd"/>
            <w:r w:rsidRPr="00082975">
              <w:t xml:space="preserve">, J. (2005). </w:t>
            </w:r>
            <w:r w:rsidRPr="00082975">
              <w:rPr>
                <w:i/>
                <w:iCs/>
              </w:rPr>
              <w:t>Unintended Consequences: The case for reforming the staffing rules in urban teachers union contracts</w:t>
            </w:r>
            <w:r w:rsidRPr="00082975">
              <w:t>: The New Teachers Project. Retrieved  from</w:t>
            </w:r>
          </w:p>
          <w:p w:rsidR="00082975" w:rsidRDefault="00082975" w:rsidP="00DA4D93">
            <w:pPr>
              <w:pStyle w:val="ReferenceList"/>
            </w:pPr>
            <w:r w:rsidRPr="00082975">
              <w:t xml:space="preserve">Ingersoll, R. M., &amp; </w:t>
            </w:r>
            <w:proofErr w:type="spellStart"/>
            <w:r w:rsidRPr="00082975">
              <w:t>Perda</w:t>
            </w:r>
            <w:proofErr w:type="spellEnd"/>
            <w:r w:rsidRPr="00082975">
              <w:t xml:space="preserve">, D. (2010). Is the Supply of Mathematics and Science Teachers Sufficient? </w:t>
            </w:r>
            <w:r w:rsidRPr="00082975">
              <w:rPr>
                <w:i/>
                <w:iCs/>
              </w:rPr>
              <w:t>American Educational Research Journal, 47</w:t>
            </w:r>
            <w:r w:rsidRPr="00082975">
              <w:t>(3), 563-594.</w:t>
            </w:r>
          </w:p>
        </w:tc>
      </w:tr>
      <w:tr w:rsidR="00BF6154" w:rsidTr="004F27CA">
        <w:tc>
          <w:tcPr>
            <w:tcW w:w="741" w:type="dxa"/>
          </w:tcPr>
          <w:p w:rsidR="00BF6154" w:rsidRDefault="00BF6154" w:rsidP="00BF6154">
            <w:r>
              <w:t>Nov 9</w:t>
            </w:r>
          </w:p>
        </w:tc>
        <w:tc>
          <w:tcPr>
            <w:tcW w:w="1617" w:type="dxa"/>
          </w:tcPr>
          <w:p w:rsidR="00BF6154" w:rsidRDefault="00BF6154" w:rsidP="00BF6154">
            <w:r>
              <w:t>Attrition and teacher quality</w:t>
            </w:r>
          </w:p>
        </w:tc>
        <w:tc>
          <w:tcPr>
            <w:tcW w:w="6509" w:type="dxa"/>
          </w:tcPr>
          <w:p w:rsidR="00BF6154" w:rsidRDefault="00F06894" w:rsidP="00DA4D93">
            <w:pPr>
              <w:pStyle w:val="ReferenceList"/>
            </w:pPr>
            <w:proofErr w:type="spellStart"/>
            <w:r w:rsidRPr="00F06894">
              <w:t>Goldhaber</w:t>
            </w:r>
            <w:proofErr w:type="spellEnd"/>
            <w:r w:rsidRPr="00F06894">
              <w:t xml:space="preserve">, D., Gross, B., &amp; Player, D. (2007). </w:t>
            </w:r>
            <w:r w:rsidRPr="00F06894">
              <w:rPr>
                <w:i/>
                <w:iCs/>
              </w:rPr>
              <w:t>Are public schools really losing their best?  Assessing the career transitions of teachers and their implications for the quality of the teacher workforce</w:t>
            </w:r>
            <w:r w:rsidRPr="00F06894">
              <w:t>: National Center for Analysis of Longitudinal Data in Education Research. Retrieved  from</w:t>
            </w:r>
          </w:p>
          <w:p w:rsidR="00F06894" w:rsidRPr="004F27CA" w:rsidRDefault="00F06894" w:rsidP="00DA4D93">
            <w:pPr>
              <w:pStyle w:val="ReferenceList"/>
              <w:rPr>
                <w:strike/>
              </w:rPr>
            </w:pPr>
            <w:r w:rsidRPr="004F27CA">
              <w:rPr>
                <w:strike/>
              </w:rPr>
              <w:t xml:space="preserve">Loeb, S., Darling-Hammond, L., &amp; </w:t>
            </w:r>
            <w:proofErr w:type="spellStart"/>
            <w:r w:rsidRPr="004F27CA">
              <w:rPr>
                <w:strike/>
              </w:rPr>
              <w:t>Luczak</w:t>
            </w:r>
            <w:proofErr w:type="spellEnd"/>
            <w:r w:rsidRPr="004F27CA">
              <w:rPr>
                <w:strike/>
              </w:rPr>
              <w:t xml:space="preserve">, J. (2005). How teaching conditions predict teacher turnover in California schools. </w:t>
            </w:r>
            <w:r w:rsidRPr="004F27CA">
              <w:rPr>
                <w:i/>
                <w:iCs/>
                <w:strike/>
              </w:rPr>
              <w:t>Peabody Journal of Education, 80</w:t>
            </w:r>
            <w:r w:rsidRPr="004F27CA">
              <w:rPr>
                <w:strike/>
              </w:rPr>
              <w:t>(3), 44-70.</w:t>
            </w:r>
          </w:p>
          <w:p w:rsidR="00F06894" w:rsidRDefault="00F06894" w:rsidP="00DA4D93">
            <w:pPr>
              <w:pStyle w:val="ReferenceList"/>
            </w:pPr>
            <w:proofErr w:type="spellStart"/>
            <w:r w:rsidRPr="00F06894">
              <w:t>Keigher</w:t>
            </w:r>
            <w:proofErr w:type="spellEnd"/>
            <w:r w:rsidRPr="00F06894">
              <w:t xml:space="preserve">, A., &amp; Cross, F. (2010). </w:t>
            </w:r>
            <w:r w:rsidRPr="00F06894">
              <w:rPr>
                <w:i/>
                <w:iCs/>
              </w:rPr>
              <w:t>Teacher Attrition and Mobility: Results From the 2008–09 Teacher Follow-up Survey</w:t>
            </w:r>
            <w:r w:rsidRPr="00F06894">
              <w:t>. Washington DC: National Center for Education Statistics. Retrieved  from</w:t>
            </w:r>
          </w:p>
        </w:tc>
      </w:tr>
      <w:tr w:rsidR="00BF6154" w:rsidTr="004F27CA">
        <w:tc>
          <w:tcPr>
            <w:tcW w:w="741" w:type="dxa"/>
          </w:tcPr>
          <w:p w:rsidR="00BF6154" w:rsidRDefault="00BF6154" w:rsidP="00F054AE">
            <w:r>
              <w:t xml:space="preserve">Nov </w:t>
            </w:r>
            <w:r w:rsidR="00F054AE">
              <w:t>16</w:t>
            </w:r>
          </w:p>
        </w:tc>
        <w:tc>
          <w:tcPr>
            <w:tcW w:w="1617" w:type="dxa"/>
          </w:tcPr>
          <w:p w:rsidR="00BF6154" w:rsidRDefault="00BF6154" w:rsidP="00BF6154">
            <w:r>
              <w:t>Supports for teachers</w:t>
            </w:r>
          </w:p>
        </w:tc>
        <w:tc>
          <w:tcPr>
            <w:tcW w:w="6509" w:type="dxa"/>
          </w:tcPr>
          <w:p w:rsidR="00BF6154" w:rsidRDefault="00471AE6" w:rsidP="00DA4D93">
            <w:pPr>
              <w:pStyle w:val="ReferenceList"/>
            </w:pPr>
            <w:r>
              <w:t xml:space="preserve">Kennedy, M. M. (2010) </w:t>
            </w:r>
            <w:r w:rsidR="00F06894">
              <w:t>Teacher Quality and the Question of Attribution Error.  Unpublished manuscript.</w:t>
            </w:r>
          </w:p>
          <w:p w:rsidR="00F06894" w:rsidRDefault="00F06894" w:rsidP="00DA4D93">
            <w:pPr>
              <w:pStyle w:val="ReferenceList"/>
            </w:pPr>
            <w:r w:rsidRPr="00F06894">
              <w:t xml:space="preserve">Loeb, S., Darling-Hammond, L., &amp; </w:t>
            </w:r>
            <w:proofErr w:type="spellStart"/>
            <w:r w:rsidRPr="00F06894">
              <w:t>Luczak</w:t>
            </w:r>
            <w:proofErr w:type="spellEnd"/>
            <w:r w:rsidRPr="00F06894">
              <w:t xml:space="preserve">, J. (2005). How teaching conditions predict teacher turnover in California schools. </w:t>
            </w:r>
            <w:r w:rsidRPr="00F06894">
              <w:rPr>
                <w:i/>
                <w:iCs/>
              </w:rPr>
              <w:t>Peabody Journal of Education, 80</w:t>
            </w:r>
            <w:r w:rsidRPr="00F06894">
              <w:t>(3), 44-70.</w:t>
            </w:r>
          </w:p>
          <w:p w:rsidR="00F06894" w:rsidRDefault="00F06894" w:rsidP="00F06894">
            <w:pPr>
              <w:pStyle w:val="ReferenceList"/>
            </w:pPr>
            <w:r w:rsidRPr="00F06894">
              <w:t xml:space="preserve">Cohen, D. K. (2010). Teacher quality: An American educational dilemma. In M. M. Kennedy (Ed.), </w:t>
            </w:r>
            <w:r w:rsidRPr="00F06894">
              <w:rPr>
                <w:i/>
                <w:iCs/>
              </w:rPr>
              <w:t>Teacher assessment and the quest for teacher quality</w:t>
            </w:r>
            <w:r w:rsidRPr="00F06894">
              <w:t xml:space="preserve">. San Francisco: </w:t>
            </w:r>
            <w:proofErr w:type="spellStart"/>
            <w:r w:rsidRPr="00F06894">
              <w:t>Jossey</w:t>
            </w:r>
            <w:proofErr w:type="spellEnd"/>
            <w:r w:rsidRPr="00F06894">
              <w:t xml:space="preserve"> Bass.</w:t>
            </w:r>
          </w:p>
        </w:tc>
      </w:tr>
      <w:tr w:rsidR="00BF6154" w:rsidTr="004F27CA">
        <w:tc>
          <w:tcPr>
            <w:tcW w:w="741" w:type="dxa"/>
          </w:tcPr>
          <w:p w:rsidR="00BF6154" w:rsidRDefault="00BF6154" w:rsidP="00F054AE">
            <w:r>
              <w:t xml:space="preserve">Nov </w:t>
            </w:r>
            <w:r w:rsidR="00F054AE">
              <w:t>23</w:t>
            </w:r>
          </w:p>
        </w:tc>
        <w:tc>
          <w:tcPr>
            <w:tcW w:w="1617" w:type="dxa"/>
          </w:tcPr>
          <w:p w:rsidR="00BF6154" w:rsidRDefault="00BF6154" w:rsidP="00BF6154">
            <w:r>
              <w:t>Induction and Professional Development</w:t>
            </w:r>
          </w:p>
        </w:tc>
        <w:tc>
          <w:tcPr>
            <w:tcW w:w="6509" w:type="dxa"/>
          </w:tcPr>
          <w:p w:rsidR="00BF6154" w:rsidRDefault="00E17D30" w:rsidP="00DA4D93">
            <w:pPr>
              <w:pStyle w:val="ReferenceList"/>
            </w:pPr>
            <w:r w:rsidRPr="00E17D30">
              <w:t xml:space="preserve">Smith, T. M., &amp; Ingersoll, R. M. (2004). What are the effects of induction and mentoring on beginning teacher turnover? </w:t>
            </w:r>
            <w:r w:rsidRPr="00E17D30">
              <w:rPr>
                <w:i/>
                <w:iCs/>
              </w:rPr>
              <w:t>American Educational Research Journal, 41</w:t>
            </w:r>
            <w:r w:rsidRPr="00E17D30">
              <w:t>(3), 681-714</w:t>
            </w:r>
          </w:p>
          <w:p w:rsidR="00E17D30" w:rsidRDefault="00E17D30" w:rsidP="00DA4D93">
            <w:pPr>
              <w:pStyle w:val="ReferenceList"/>
            </w:pPr>
            <w:proofErr w:type="spellStart"/>
            <w:r w:rsidRPr="00E17D30">
              <w:t>Gallucci</w:t>
            </w:r>
            <w:proofErr w:type="spellEnd"/>
            <w:r w:rsidRPr="00E17D30">
              <w:t xml:space="preserve">, C., Van </w:t>
            </w:r>
            <w:proofErr w:type="spellStart"/>
            <w:r w:rsidRPr="00E17D30">
              <w:t>Iare</w:t>
            </w:r>
            <w:proofErr w:type="spellEnd"/>
            <w:r w:rsidRPr="00E17D30">
              <w:t xml:space="preserve">, M. D., Yoon, I. H., &amp; </w:t>
            </w:r>
            <w:proofErr w:type="spellStart"/>
            <w:r w:rsidRPr="00E17D30">
              <w:t>Boatright</w:t>
            </w:r>
            <w:proofErr w:type="spellEnd"/>
            <w:r w:rsidRPr="00E17D30">
              <w:t xml:space="preserve">, B. (2010). Instructional Coaching: Building Theory About the Role and Organizational Support for Professional Learning </w:t>
            </w:r>
            <w:r w:rsidRPr="00E17D30">
              <w:rPr>
                <w:i/>
                <w:iCs/>
              </w:rPr>
              <w:t>American Educational Research Journal</w:t>
            </w:r>
            <w:r w:rsidRPr="00E17D30">
              <w:t>.</w:t>
            </w:r>
          </w:p>
          <w:p w:rsidR="00E17D30" w:rsidRDefault="00E17D30" w:rsidP="00DA4D93">
            <w:pPr>
              <w:pStyle w:val="ReferenceList"/>
            </w:pPr>
            <w:proofErr w:type="spellStart"/>
            <w:r w:rsidRPr="00E17D30">
              <w:t>Scotchmer</w:t>
            </w:r>
            <w:proofErr w:type="spellEnd"/>
            <w:r w:rsidRPr="00E17D30">
              <w:t xml:space="preserve">, M., McGrath, D. J., &amp; Coder, E. (2005). </w:t>
            </w:r>
            <w:r w:rsidRPr="00E17D30">
              <w:rPr>
                <w:i/>
                <w:iCs/>
              </w:rPr>
              <w:t>Characteristics of Public School Teachers’ Professional Development Activities: 1999–2000</w:t>
            </w:r>
            <w:r w:rsidRPr="00E17D30">
              <w:t>. Washington DC: National Center for Education Statistics. Retrieved  from</w:t>
            </w:r>
          </w:p>
        </w:tc>
      </w:tr>
      <w:tr w:rsidR="00F054AE" w:rsidTr="004F27CA">
        <w:tc>
          <w:tcPr>
            <w:tcW w:w="741" w:type="dxa"/>
          </w:tcPr>
          <w:p w:rsidR="00F054AE" w:rsidRDefault="00F054AE" w:rsidP="00E554DF">
            <w:r>
              <w:t xml:space="preserve">Nov </w:t>
            </w:r>
          </w:p>
          <w:p w:rsidR="00F054AE" w:rsidRDefault="00F054AE" w:rsidP="00E554DF">
            <w:r>
              <w:t>30</w:t>
            </w:r>
          </w:p>
        </w:tc>
        <w:tc>
          <w:tcPr>
            <w:tcW w:w="1617" w:type="dxa"/>
          </w:tcPr>
          <w:p w:rsidR="00F054AE" w:rsidRDefault="00F054AE" w:rsidP="00E554DF">
            <w:r>
              <w:t>No Child Left Behind and Teacher Quality</w:t>
            </w:r>
          </w:p>
        </w:tc>
        <w:tc>
          <w:tcPr>
            <w:tcW w:w="6509" w:type="dxa"/>
          </w:tcPr>
          <w:p w:rsidR="00F054AE" w:rsidRDefault="00F054AE" w:rsidP="00E554DF">
            <w:pPr>
              <w:pStyle w:val="ReferenceList"/>
            </w:pPr>
            <w:proofErr w:type="spellStart"/>
            <w:r w:rsidRPr="00F06894">
              <w:t>Kuenzi</w:t>
            </w:r>
            <w:proofErr w:type="spellEnd"/>
            <w:r w:rsidRPr="00F06894">
              <w:t xml:space="preserve">, J. (2008). </w:t>
            </w:r>
            <w:r w:rsidRPr="00F06894">
              <w:rPr>
                <w:i/>
                <w:iCs/>
              </w:rPr>
              <w:t>K-12 Teacher Quality: Issues and Legislative Action</w:t>
            </w:r>
            <w:r w:rsidRPr="00F06894">
              <w:t>. WDC: Congressional research service. Retrieved  from</w:t>
            </w:r>
          </w:p>
          <w:p w:rsidR="00F054AE" w:rsidRDefault="00F054AE" w:rsidP="00E554DF">
            <w:pPr>
              <w:pStyle w:val="ReferenceList"/>
            </w:pPr>
            <w:r w:rsidRPr="00F06894">
              <w:t xml:space="preserve">Smith, T. M., </w:t>
            </w:r>
            <w:proofErr w:type="spellStart"/>
            <w:r w:rsidRPr="00F06894">
              <w:t>Desimone</w:t>
            </w:r>
            <w:proofErr w:type="spellEnd"/>
            <w:r w:rsidRPr="00F06894">
              <w:t xml:space="preserve">, L. M., &amp; Ueno, K. (2005). "Highly qualified" to do what?  The relationship between NCLB teacher quality mandates and the use of reform-oriented instruction in middle school mathematics. </w:t>
            </w:r>
            <w:r w:rsidRPr="00F06894">
              <w:rPr>
                <w:i/>
                <w:iCs/>
              </w:rPr>
              <w:t>Educational Evaluation and Policy Analysis, 27</w:t>
            </w:r>
            <w:r w:rsidRPr="00F06894">
              <w:t>(1), 75-109.</w:t>
            </w:r>
          </w:p>
          <w:p w:rsidR="00F054AE" w:rsidRDefault="00F054AE" w:rsidP="00E554DF">
            <w:pPr>
              <w:pStyle w:val="ReferenceList"/>
            </w:pPr>
            <w:r w:rsidRPr="00F06894">
              <w:t xml:space="preserve">Dee, T., &amp; Jacob, B. (2010). Evaluating NCLB. </w:t>
            </w:r>
            <w:r w:rsidRPr="00F06894">
              <w:rPr>
                <w:i/>
                <w:iCs/>
              </w:rPr>
              <w:t>Education Next,</w:t>
            </w:r>
            <w:r w:rsidRPr="00F06894">
              <w:t xml:space="preserve"> 54-61.</w:t>
            </w:r>
          </w:p>
          <w:p w:rsidR="00F054AE" w:rsidRDefault="00F054AE" w:rsidP="00E554DF">
            <w:pPr>
              <w:pStyle w:val="ReferenceList"/>
            </w:pPr>
            <w:r>
              <w:t>U. S. Department of Education (2010) A Blueprint for Reform:  The Reauthorization of the Elementary and Secondary Education Act.  Washington, D. C.  Author.</w:t>
            </w:r>
          </w:p>
        </w:tc>
      </w:tr>
      <w:tr w:rsidR="00BF6154" w:rsidTr="004F27CA">
        <w:tc>
          <w:tcPr>
            <w:tcW w:w="741" w:type="dxa"/>
          </w:tcPr>
          <w:p w:rsidR="00BF6154" w:rsidRDefault="00BF6154" w:rsidP="00BF6154">
            <w:r>
              <w:t xml:space="preserve">Dec </w:t>
            </w:r>
            <w:r w:rsidR="00141F34">
              <w:br/>
            </w:r>
            <w:r>
              <w:lastRenderedPageBreak/>
              <w:t>7</w:t>
            </w:r>
          </w:p>
        </w:tc>
        <w:tc>
          <w:tcPr>
            <w:tcW w:w="1617" w:type="dxa"/>
          </w:tcPr>
          <w:p w:rsidR="00BF6154" w:rsidRDefault="00141F34" w:rsidP="00BF6154">
            <w:r>
              <w:lastRenderedPageBreak/>
              <w:t>Different</w:t>
            </w:r>
            <w:r w:rsidR="004F27CA" w:rsidRPr="004F27CA">
              <w:rPr>
                <w:u w:val="single"/>
              </w:rPr>
              <w:t>iat</w:t>
            </w:r>
            <w:r>
              <w:t>i</w:t>
            </w:r>
            <w:r w:rsidR="00BF6154">
              <w:t xml:space="preserve">ng </w:t>
            </w:r>
            <w:r w:rsidR="00BF6154">
              <w:lastRenderedPageBreak/>
              <w:t>among teachers</w:t>
            </w:r>
          </w:p>
        </w:tc>
        <w:tc>
          <w:tcPr>
            <w:tcW w:w="6509" w:type="dxa"/>
          </w:tcPr>
          <w:p w:rsidR="00BF6154" w:rsidRDefault="00E17D30" w:rsidP="00DA4D93">
            <w:pPr>
              <w:pStyle w:val="ReferenceList"/>
            </w:pPr>
            <w:proofErr w:type="spellStart"/>
            <w:r w:rsidRPr="00E17D30">
              <w:lastRenderedPageBreak/>
              <w:t>Milanowski</w:t>
            </w:r>
            <w:proofErr w:type="spellEnd"/>
            <w:r w:rsidRPr="00E17D30">
              <w:t xml:space="preserve">, A. (2003). The Varieties of Knowledge and Skill-Based Pay Design: A </w:t>
            </w:r>
            <w:r w:rsidRPr="00E17D30">
              <w:lastRenderedPageBreak/>
              <w:t xml:space="preserve">Comparison of Seven New Pay Systems for K-12 Teachers. </w:t>
            </w:r>
            <w:r w:rsidRPr="00E17D30">
              <w:rPr>
                <w:i/>
                <w:iCs/>
              </w:rPr>
              <w:t>Education Policy Analysis Archives, 11</w:t>
            </w:r>
            <w:r w:rsidRPr="00E17D30">
              <w:t>(4).</w:t>
            </w:r>
          </w:p>
          <w:p w:rsidR="00E17D30" w:rsidRDefault="00E17D30" w:rsidP="00DA4D93">
            <w:pPr>
              <w:pStyle w:val="ReferenceList"/>
            </w:pPr>
            <w:proofErr w:type="spellStart"/>
            <w:r w:rsidRPr="00E17D30">
              <w:t>Pullin</w:t>
            </w:r>
            <w:proofErr w:type="spellEnd"/>
            <w:r w:rsidRPr="00E17D30">
              <w:t xml:space="preserve">, D. (2010). Judging Teachers: The law of teacher dismissals. In M. M. Kennedy (Ed.), </w:t>
            </w:r>
            <w:r w:rsidRPr="00E17D30">
              <w:rPr>
                <w:i/>
                <w:iCs/>
              </w:rPr>
              <w:t>Teacher Assessment and the Quest for Teacher Quality: A Handbook</w:t>
            </w:r>
            <w:r w:rsidRPr="00E17D30">
              <w:t xml:space="preserve"> (pp. 297-333). San Francisco: </w:t>
            </w:r>
            <w:proofErr w:type="spellStart"/>
            <w:r w:rsidRPr="00E17D30">
              <w:t>Jossey</w:t>
            </w:r>
            <w:proofErr w:type="spellEnd"/>
            <w:r w:rsidRPr="00E17D30">
              <w:t xml:space="preserve"> Bass.</w:t>
            </w:r>
          </w:p>
          <w:p w:rsidR="00E17D30" w:rsidRDefault="00E17D30" w:rsidP="00DA4D93">
            <w:pPr>
              <w:pStyle w:val="ReferenceList"/>
            </w:pPr>
            <w:proofErr w:type="spellStart"/>
            <w:r w:rsidRPr="00E17D30">
              <w:t>Glazerman</w:t>
            </w:r>
            <w:proofErr w:type="spellEnd"/>
            <w:r w:rsidRPr="00E17D30">
              <w:t xml:space="preserve">, S., &amp; </w:t>
            </w:r>
            <w:proofErr w:type="spellStart"/>
            <w:r w:rsidRPr="00E17D30">
              <w:t>Seifullah</w:t>
            </w:r>
            <w:proofErr w:type="spellEnd"/>
            <w:r w:rsidRPr="00E17D30">
              <w:t xml:space="preserve">, A. (2010). </w:t>
            </w:r>
            <w:r w:rsidRPr="00E17D30">
              <w:rPr>
                <w:i/>
                <w:iCs/>
              </w:rPr>
              <w:t>An evaluation of the Teacher Advancement Program (TAP) in Chicago: Year Two Impact Report</w:t>
            </w:r>
            <w:r w:rsidRPr="00E17D30">
              <w:t xml:space="preserve">. Washington DC: </w:t>
            </w:r>
            <w:proofErr w:type="spellStart"/>
            <w:r w:rsidRPr="00E17D30">
              <w:t>Mathematica</w:t>
            </w:r>
            <w:proofErr w:type="spellEnd"/>
            <w:r w:rsidRPr="00E17D30">
              <w:t xml:space="preserve"> Inc. Retrieved  from</w:t>
            </w:r>
          </w:p>
        </w:tc>
      </w:tr>
      <w:tr w:rsidR="00BF6154" w:rsidTr="004F27CA">
        <w:tc>
          <w:tcPr>
            <w:tcW w:w="741" w:type="dxa"/>
          </w:tcPr>
          <w:p w:rsidR="00BF6154" w:rsidRDefault="00BF6154" w:rsidP="00BF6154">
            <w:r>
              <w:lastRenderedPageBreak/>
              <w:t>Dec 14</w:t>
            </w:r>
          </w:p>
        </w:tc>
        <w:tc>
          <w:tcPr>
            <w:tcW w:w="1617" w:type="dxa"/>
          </w:tcPr>
          <w:p w:rsidR="00BF6154" w:rsidRDefault="00BF6154" w:rsidP="00BF6154">
            <w:r>
              <w:t>FINAL POLICY ANALYSIS PAPERS DUE</w:t>
            </w:r>
          </w:p>
        </w:tc>
        <w:tc>
          <w:tcPr>
            <w:tcW w:w="6509" w:type="dxa"/>
          </w:tcPr>
          <w:p w:rsidR="00BF6154" w:rsidRDefault="00F054AE" w:rsidP="00DA4D93">
            <w:pPr>
              <w:pStyle w:val="ReferenceList"/>
            </w:pPr>
            <w:r>
              <w:t>Class time will be spent on Endnote and the citation process in general</w:t>
            </w:r>
          </w:p>
        </w:tc>
      </w:tr>
    </w:tbl>
    <w:p w:rsidR="00BF6154" w:rsidRPr="00BF6154" w:rsidRDefault="00BF6154" w:rsidP="00BF6154"/>
    <w:p w:rsidR="00BF6154" w:rsidRPr="00BF6154" w:rsidRDefault="00BF6154" w:rsidP="00BF6154">
      <w:r w:rsidRPr="00BF6154">
        <w:rPr>
          <w:b/>
          <w:bCs/>
        </w:rPr>
        <w:t>Course Requirements</w:t>
      </w:r>
    </w:p>
    <w:p w:rsidR="00BF6154" w:rsidRDefault="00BF6154" w:rsidP="00BF6154">
      <w:r w:rsidRPr="00BF6154">
        <w:t xml:space="preserve">Students will be responsible for two primary products during the course. </w:t>
      </w:r>
    </w:p>
    <w:p w:rsidR="00BF6154" w:rsidRDefault="00BF6154" w:rsidP="00BF6154">
      <w:r w:rsidRPr="00BF6154">
        <w:br/>
        <w:t xml:space="preserve">1. A book review will be due midterm week. On the Angel page for that week, I list several recently-published books that address policy issues relevant to teacher quality. Each student will write a review of one of these books, with no overlaps in books. I encourage you to try to get your review actually published and, to help you with that I provide several examples of published book reviews, each annotated to highlight its strengths and weaknesses. </w:t>
      </w:r>
    </w:p>
    <w:p w:rsidR="00BF6154" w:rsidRPr="00BF6154" w:rsidRDefault="00BF6154" w:rsidP="00BF6154">
      <w:r w:rsidRPr="00BF6154">
        <w:br/>
        <w:t>2.</w:t>
      </w:r>
      <w:r w:rsidR="00E17D30">
        <w:t xml:space="preserve"> </w:t>
      </w:r>
      <w:r w:rsidRPr="00BF6154">
        <w:t xml:space="preserve">Due by our scheduled final exam day will be a policy analysis in which you establish a definition of teacher quality and examine strategies for improving that particular aspect of teacher quality. This paper will review literature to make an evidence-based argument about how to improve teacher quality. </w:t>
      </w:r>
    </w:p>
    <w:p w:rsidR="00BF6154" w:rsidRPr="00BF6154" w:rsidRDefault="00BF6154" w:rsidP="00BF6154">
      <w:r w:rsidRPr="00BF6154">
        <w:rPr>
          <w:b/>
          <w:bCs/>
        </w:rPr>
        <w:t>Grading Policy</w:t>
      </w:r>
    </w:p>
    <w:p w:rsidR="00BF6154" w:rsidRPr="00BF6154" w:rsidRDefault="00BF6154" w:rsidP="00BF6154">
      <w:r w:rsidRPr="00BF6154">
        <w:t xml:space="preserve">Grade will be </w:t>
      </w:r>
      <w:r w:rsidR="001C65D3">
        <w:t>determined as follows:</w:t>
      </w:r>
      <w:r w:rsidR="001C65D3">
        <w:br/>
      </w:r>
      <w:r w:rsidR="001C65D3">
        <w:br/>
        <w:t>--40% for</w:t>
      </w:r>
      <w:r w:rsidRPr="00BF6154">
        <w:t xml:space="preserve"> the first paper</w:t>
      </w:r>
      <w:r w:rsidRPr="00BF6154">
        <w:br/>
        <w:t>--</w:t>
      </w:r>
      <w:r w:rsidR="001C65D3">
        <w:t>40% for the second paper</w:t>
      </w:r>
      <w:r w:rsidR="001C65D3">
        <w:br/>
        <w:t xml:space="preserve">--20% for </w:t>
      </w:r>
      <w:r w:rsidRPr="00BF6154">
        <w:t xml:space="preserve">class </w:t>
      </w:r>
      <w:r w:rsidR="001C65D3">
        <w:t xml:space="preserve">preparation and productive </w:t>
      </w:r>
      <w:r w:rsidRPr="00BF6154">
        <w:t>participation</w:t>
      </w:r>
    </w:p>
    <w:p w:rsidR="00BF6154" w:rsidRPr="00BF6154" w:rsidRDefault="00BF6154" w:rsidP="00BF6154">
      <w:r w:rsidRPr="00BF6154">
        <w:rPr>
          <w:b/>
          <w:bCs/>
        </w:rPr>
        <w:t>Attendance Policy</w:t>
      </w:r>
    </w:p>
    <w:p w:rsidR="00BF6154" w:rsidRPr="00BF6154" w:rsidRDefault="00BF6154" w:rsidP="00BF6154">
      <w:r w:rsidRPr="00BF6154">
        <w:t>Bring either your laptop or a paper copy of the readings with you so that we can refer to them during discussions.</w:t>
      </w:r>
    </w:p>
    <w:p w:rsidR="00BF6154" w:rsidRPr="00BF6154" w:rsidRDefault="00BF6154" w:rsidP="00BF6154">
      <w:r w:rsidRPr="00BF6154">
        <w:rPr>
          <w:b/>
          <w:bCs/>
        </w:rPr>
        <w:t>Academic Integrity</w:t>
      </w:r>
    </w:p>
    <w:p w:rsidR="00864780" w:rsidRDefault="00BF6154">
      <w:r w:rsidRPr="00BF6154">
        <w:t>Students are expected to do their own work and to submit papers that are their own work. If you quote another author, you must cite that author rather than imply that this is your own work. The university does not tolerate academic dishonesty of any kind.</w:t>
      </w:r>
    </w:p>
    <w:sectPr w:rsidR="00864780" w:rsidSect="008647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lbertus Medium">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421E"/>
    <w:multiLevelType w:val="multilevel"/>
    <w:tmpl w:val="83A84848"/>
    <w:styleLink w:val="StyleBulletedSymbolsymbolLeft025Hanging025"/>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
    <w:nsid w:val="22427EF1"/>
    <w:multiLevelType w:val="multilevel"/>
    <w:tmpl w:val="12521B48"/>
    <w:styleLink w:val="StyleBulletedSymbolsymbol10ptLeft05Hanging025"/>
    <w:lvl w:ilvl="0">
      <w:start w:val="1"/>
      <w:numFmt w:val="bullet"/>
      <w:lvlText w:val=""/>
      <w:lvlJc w:val="left"/>
      <w:pPr>
        <w:ind w:left="1080" w:hanging="360"/>
      </w:pPr>
      <w:rPr>
        <w:rFonts w:ascii="Symbol" w:hAnsi="Symbol"/>
        <w:sz w:val="20"/>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2">
    <w:nsid w:val="47CB6890"/>
    <w:multiLevelType w:val="hybridMultilevel"/>
    <w:tmpl w:val="CFFEEA06"/>
    <w:lvl w:ilvl="0" w:tplc="FA1474A4">
      <w:start w:val="1"/>
      <w:numFmt w:val="bullet"/>
      <w:pStyle w:val="ColorfulList-Accent1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2"/>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doNotDisplayPageBoundaries/>
  <w:displayBackgroundShape/>
  <w:proofState w:spelling="clean" w:grammar="clean"/>
  <w:stylePaneFormatFilter w:val="C604"/>
  <w:stylePaneSortMethod w:val="0000"/>
  <w:defaultTabStop w:val="720"/>
  <w:characterSpacingControl w:val="doNotCompress"/>
  <w:compat/>
  <w:rsids>
    <w:rsidRoot w:val="00BF6154"/>
    <w:rsid w:val="00082975"/>
    <w:rsid w:val="00141F34"/>
    <w:rsid w:val="001C65D3"/>
    <w:rsid w:val="00262988"/>
    <w:rsid w:val="00367D41"/>
    <w:rsid w:val="003A6EE6"/>
    <w:rsid w:val="00442BAB"/>
    <w:rsid w:val="00444E14"/>
    <w:rsid w:val="0045392C"/>
    <w:rsid w:val="00471AE6"/>
    <w:rsid w:val="004950CC"/>
    <w:rsid w:val="004F27CA"/>
    <w:rsid w:val="00534739"/>
    <w:rsid w:val="00585A80"/>
    <w:rsid w:val="006F2EC9"/>
    <w:rsid w:val="007241F9"/>
    <w:rsid w:val="0075698A"/>
    <w:rsid w:val="007C4D73"/>
    <w:rsid w:val="007E172B"/>
    <w:rsid w:val="00813945"/>
    <w:rsid w:val="00864780"/>
    <w:rsid w:val="008A492A"/>
    <w:rsid w:val="0094334B"/>
    <w:rsid w:val="00A75B3C"/>
    <w:rsid w:val="00BF4B2A"/>
    <w:rsid w:val="00BF6154"/>
    <w:rsid w:val="00C04B3E"/>
    <w:rsid w:val="00C26EC5"/>
    <w:rsid w:val="00CF687E"/>
    <w:rsid w:val="00D64B2D"/>
    <w:rsid w:val="00D72A0C"/>
    <w:rsid w:val="00DA4D93"/>
    <w:rsid w:val="00DF2BEA"/>
    <w:rsid w:val="00E17D30"/>
    <w:rsid w:val="00E25226"/>
    <w:rsid w:val="00E72D08"/>
    <w:rsid w:val="00EC5B65"/>
    <w:rsid w:val="00ED7111"/>
    <w:rsid w:val="00F054AE"/>
    <w:rsid w:val="00F06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iPriority="73" w:unhideWhenUsed="1" w:qFormat="1"/>
    <w:lsdException w:name="heading 6" w:uiPriority="73" w:unhideWhenUsed="1" w:qFormat="1"/>
    <w:lsdException w:name="heading 7" w:uiPriority="73" w:unhideWhenUsed="1" w:qFormat="1"/>
    <w:lsdException w:name="heading 8" w:uiPriority="73" w:unhideWhenUsed="1" w:qFormat="1"/>
    <w:lsdException w:name="heading 9" w:uiPriority="73" w:unhideWhenUsed="1" w:qFormat="1"/>
    <w:lsdException w:name="Normal Indent" w:unhideWhenUsed="1"/>
    <w:lsdException w:name="footnote text" w:semiHidden="0" w:uiPriority="3"/>
    <w:lsdException w:name="annotation text" w:unhideWhenUsed="1"/>
    <w:lsdException w:name="header" w:unhideWhenUsed="1"/>
    <w:lsdException w:name="footer" w:unhideWhenUsed="1"/>
    <w:lsdException w:name="caption" w:uiPriority="35" w:unhideWhenUsed="1" w:qFormat="1"/>
    <w:lsdException w:name="table of figures" w:semiHidden="0" w:qFormat="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semiHidden="0" w:uiPriority="1"/>
    <w:lsdException w:name="endnote text" w:semiHidden="0" w:uiPriority="73"/>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73"/>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73" w:unhideWhenUsed="1"/>
    <w:lsdException w:name="FollowedHyperlink" w:unhideWhenUsed="1"/>
    <w:lsdException w:name="Strong" w:semiHidden="0" w:uiPriority="99" w:qFormat="1"/>
    <w:lsdException w:name="Emphasis" w:semiHidden="0" w:uiPriority="99" w:qFormat="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4"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Revision" w:uiPriority="99"/>
    <w:lsdException w:name="List Paragraph" w:semiHidden="0" w:uiPriority="73" w:qFormat="1"/>
    <w:lsdException w:name="Quote" w:semiHidden="0" w:uiPriority="99" w:qFormat="1"/>
    <w:lsdException w:name="Intense Quote" w:locked="1" w:semiHidden="0" w:uiPriority="99"/>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semiHidden="0" w:uiPriority="99" w:qFormat="1"/>
    <w:lsdException w:name="Intense Emphasis" w:locked="1" w:semiHidden="0" w:uiPriority="99"/>
    <w:lsdException w:name="Subtle Reference" w:semiHidden="0" w:uiPriority="99"/>
    <w:lsdException w:name="Intense Reference" w:locked="1" w:semiHidden="0" w:uiPriority="99"/>
    <w:lsdException w:name="Book Title" w:semiHidden="0" w:uiPriority="99"/>
    <w:lsdException w:name="Bibliography" w:uiPriority="37" w:unhideWhenUsed="1"/>
    <w:lsdException w:name="TOC Heading" w:uiPriority="39" w:unhideWhenUsed="1" w:qFormat="1"/>
  </w:latentStyles>
  <w:style w:type="paragraph" w:default="1" w:styleId="Normal">
    <w:name w:val="Normal"/>
    <w:aliases w:val="Normal single space"/>
    <w:qFormat/>
    <w:rsid w:val="00CF687E"/>
    <w:pPr>
      <w:widowControl w:val="0"/>
      <w:tabs>
        <w:tab w:val="left" w:pos="576"/>
      </w:tabs>
      <w:autoSpaceDE w:val="0"/>
      <w:autoSpaceDN w:val="0"/>
      <w:adjustRightInd w:val="0"/>
      <w:spacing w:after="240"/>
    </w:pPr>
  </w:style>
  <w:style w:type="paragraph" w:styleId="Heading1">
    <w:name w:val="heading 1"/>
    <w:basedOn w:val="Normal"/>
    <w:next w:val="Normal"/>
    <w:link w:val="Heading1Char"/>
    <w:qFormat/>
    <w:rsid w:val="00CF687E"/>
    <w:pPr>
      <w:keepNext/>
      <w:keepLines/>
      <w:spacing w:before="240"/>
      <w:jc w:val="center"/>
      <w:outlineLvl w:val="0"/>
    </w:pPr>
    <w:rPr>
      <w:rFonts w:ascii="Arial Rounded MT Bold" w:hAnsi="Arial Rounded MT Bold"/>
      <w:bCs/>
      <w:sz w:val="32"/>
      <w:szCs w:val="28"/>
      <w:lang w:bidi="en-US"/>
    </w:rPr>
  </w:style>
  <w:style w:type="paragraph" w:styleId="Heading2">
    <w:name w:val="heading 2"/>
    <w:basedOn w:val="Normal"/>
    <w:next w:val="Normal"/>
    <w:link w:val="Heading2Char"/>
    <w:autoRedefine/>
    <w:qFormat/>
    <w:rsid w:val="00CF687E"/>
    <w:pPr>
      <w:keepNext/>
      <w:keepLines/>
      <w:widowControl/>
      <w:pBdr>
        <w:bottom w:val="single" w:sz="4" w:space="1" w:color="auto"/>
      </w:pBdr>
      <w:tabs>
        <w:tab w:val="clear" w:pos="576"/>
      </w:tabs>
      <w:autoSpaceDE/>
      <w:autoSpaceDN/>
      <w:adjustRightInd/>
      <w:spacing w:before="240"/>
      <w:outlineLvl w:val="1"/>
    </w:pPr>
    <w:rPr>
      <w:rFonts w:ascii="Albertus Medium" w:eastAsia="Calibri" w:hAnsi="Albertus Medium"/>
      <w:bCs/>
      <w:sz w:val="28"/>
      <w:szCs w:val="26"/>
      <w:lang w:bidi="en-US"/>
    </w:rPr>
  </w:style>
  <w:style w:type="paragraph" w:styleId="Heading3">
    <w:name w:val="heading 3"/>
    <w:basedOn w:val="Normal"/>
    <w:next w:val="Normal"/>
    <w:link w:val="Heading3Char"/>
    <w:autoRedefine/>
    <w:qFormat/>
    <w:rsid w:val="00442BAB"/>
    <w:pPr>
      <w:keepNext/>
      <w:keepLines/>
      <w:widowControl/>
      <w:tabs>
        <w:tab w:val="clear" w:pos="576"/>
      </w:tabs>
      <w:autoSpaceDE/>
      <w:autoSpaceDN/>
      <w:adjustRightInd/>
      <w:spacing w:before="240"/>
      <w:outlineLvl w:val="2"/>
    </w:pPr>
    <w:rPr>
      <w:rFonts w:ascii="Tw Cen MT" w:hAnsi="Tw Cen MT"/>
      <w:bCs/>
      <w:sz w:val="28"/>
      <w:lang w:bidi="en-US"/>
    </w:rPr>
  </w:style>
  <w:style w:type="paragraph" w:styleId="Heading4">
    <w:name w:val="heading 4"/>
    <w:basedOn w:val="Normal"/>
    <w:next w:val="Normal"/>
    <w:link w:val="Heading4Char"/>
    <w:qFormat/>
    <w:rsid w:val="00CF687E"/>
    <w:pPr>
      <w:keepNext/>
      <w:keepLines/>
      <w:widowControl/>
      <w:tabs>
        <w:tab w:val="clear" w:pos="576"/>
      </w:tabs>
      <w:autoSpaceDE/>
      <w:autoSpaceDN/>
      <w:adjustRightInd/>
      <w:spacing w:before="240"/>
      <w:ind w:left="720"/>
      <w:outlineLvl w:val="3"/>
    </w:pPr>
    <w:rPr>
      <w:rFonts w:ascii="Tw Cen MT" w:hAnsi="Tw Cen MT"/>
      <w:bCs/>
      <w:iCs/>
      <w:lang w:bidi="en-US"/>
    </w:rPr>
  </w:style>
  <w:style w:type="paragraph" w:styleId="Heading5">
    <w:name w:val="heading 5"/>
    <w:basedOn w:val="Normal"/>
    <w:next w:val="Normal"/>
    <w:link w:val="Heading5Char"/>
    <w:uiPriority w:val="73"/>
    <w:rsid w:val="00CF687E"/>
    <w:pPr>
      <w:keepNext/>
      <w:keepLines/>
      <w:spacing w:before="200"/>
      <w:outlineLvl w:val="4"/>
    </w:pPr>
    <w:rPr>
      <w:color w:val="243F60"/>
    </w:rPr>
  </w:style>
  <w:style w:type="paragraph" w:styleId="Heading6">
    <w:name w:val="heading 6"/>
    <w:basedOn w:val="Normal"/>
    <w:next w:val="Normal"/>
    <w:link w:val="Heading6Char"/>
    <w:uiPriority w:val="73"/>
    <w:rsid w:val="00CF687E"/>
    <w:pPr>
      <w:keepNext/>
      <w:keepLines/>
      <w:spacing w:before="200"/>
      <w:outlineLvl w:val="5"/>
    </w:pPr>
    <w:rPr>
      <w:i/>
      <w:iCs/>
      <w:color w:val="243F60"/>
    </w:rPr>
  </w:style>
  <w:style w:type="paragraph" w:styleId="Heading7">
    <w:name w:val="heading 7"/>
    <w:basedOn w:val="Normal"/>
    <w:next w:val="Normal"/>
    <w:link w:val="Heading7Char"/>
    <w:uiPriority w:val="73"/>
    <w:rsid w:val="00CF687E"/>
    <w:pPr>
      <w:keepNext/>
      <w:keepLines/>
      <w:spacing w:before="200"/>
      <w:outlineLvl w:val="6"/>
    </w:pPr>
    <w:rPr>
      <w:i/>
      <w:iCs/>
      <w:color w:val="404040"/>
    </w:rPr>
  </w:style>
  <w:style w:type="paragraph" w:styleId="Heading8">
    <w:name w:val="heading 8"/>
    <w:basedOn w:val="Normal"/>
    <w:next w:val="Normal"/>
    <w:link w:val="Heading8Char"/>
    <w:uiPriority w:val="73"/>
    <w:rsid w:val="00CF687E"/>
    <w:pPr>
      <w:keepNext/>
      <w:keepLines/>
      <w:spacing w:before="200"/>
      <w:outlineLvl w:val="7"/>
    </w:pPr>
    <w:rPr>
      <w:color w:val="404040"/>
    </w:rPr>
  </w:style>
  <w:style w:type="paragraph" w:styleId="Heading9">
    <w:name w:val="heading 9"/>
    <w:basedOn w:val="Normal"/>
    <w:next w:val="Normal"/>
    <w:link w:val="Heading9Char"/>
    <w:uiPriority w:val="73"/>
    <w:rsid w:val="00CF687E"/>
    <w:pPr>
      <w:keepNext/>
      <w:keepLines/>
      <w:spacing w:before="200"/>
      <w:outlineLvl w:val="8"/>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F687E"/>
    <w:rPr>
      <w:rFonts w:ascii="Tw Cen MT" w:hAnsi="Tw Cen MT"/>
      <w:bCs/>
      <w:iCs/>
      <w:sz w:val="22"/>
      <w:szCs w:val="22"/>
      <w:lang w:bidi="en-US"/>
    </w:rPr>
  </w:style>
  <w:style w:type="character" w:customStyle="1" w:styleId="Heading1Char">
    <w:name w:val="Heading 1 Char"/>
    <w:basedOn w:val="DefaultParagraphFont"/>
    <w:link w:val="Heading1"/>
    <w:rsid w:val="00CF687E"/>
    <w:rPr>
      <w:rFonts w:ascii="Arial Rounded MT Bold" w:hAnsi="Arial Rounded MT Bold"/>
      <w:bCs/>
      <w:sz w:val="32"/>
      <w:szCs w:val="28"/>
      <w:lang w:bidi="en-US"/>
    </w:rPr>
  </w:style>
  <w:style w:type="character" w:customStyle="1" w:styleId="Heading2Char">
    <w:name w:val="Heading 2 Char"/>
    <w:basedOn w:val="DefaultParagraphFont"/>
    <w:link w:val="Heading2"/>
    <w:rsid w:val="00CF687E"/>
    <w:rPr>
      <w:rFonts w:ascii="Albertus Medium" w:eastAsia="Calibri" w:hAnsi="Albertus Medium"/>
      <w:bCs/>
      <w:sz w:val="28"/>
      <w:szCs w:val="26"/>
      <w:lang w:bidi="en-US"/>
    </w:rPr>
  </w:style>
  <w:style w:type="character" w:customStyle="1" w:styleId="Heading3Char">
    <w:name w:val="Heading 3 Char"/>
    <w:basedOn w:val="DefaultParagraphFont"/>
    <w:link w:val="Heading3"/>
    <w:rsid w:val="00442BAB"/>
    <w:rPr>
      <w:rFonts w:ascii="Tw Cen MT" w:hAnsi="Tw Cen MT"/>
      <w:bCs/>
      <w:sz w:val="28"/>
      <w:lang w:bidi="en-US"/>
    </w:rPr>
  </w:style>
  <w:style w:type="character" w:customStyle="1" w:styleId="Heading5Char">
    <w:name w:val="Heading 5 Char"/>
    <w:basedOn w:val="DefaultParagraphFont"/>
    <w:link w:val="Heading5"/>
    <w:uiPriority w:val="73"/>
    <w:rsid w:val="00CF687E"/>
    <w:rPr>
      <w:rFonts w:ascii="Cambria" w:hAnsi="Cambria"/>
      <w:color w:val="243F60"/>
      <w:sz w:val="22"/>
      <w:szCs w:val="22"/>
    </w:rPr>
  </w:style>
  <w:style w:type="character" w:customStyle="1" w:styleId="Heading6Char">
    <w:name w:val="Heading 6 Char"/>
    <w:basedOn w:val="DefaultParagraphFont"/>
    <w:link w:val="Heading6"/>
    <w:uiPriority w:val="73"/>
    <w:rsid w:val="00CF687E"/>
    <w:rPr>
      <w:rFonts w:ascii="Cambria" w:hAnsi="Cambria"/>
      <w:i/>
      <w:iCs/>
      <w:color w:val="243F60"/>
      <w:sz w:val="22"/>
      <w:szCs w:val="22"/>
    </w:rPr>
  </w:style>
  <w:style w:type="character" w:customStyle="1" w:styleId="Heading7Char">
    <w:name w:val="Heading 7 Char"/>
    <w:basedOn w:val="DefaultParagraphFont"/>
    <w:link w:val="Heading7"/>
    <w:uiPriority w:val="73"/>
    <w:rsid w:val="00CF687E"/>
    <w:rPr>
      <w:rFonts w:ascii="Cambria" w:hAnsi="Cambria"/>
      <w:i/>
      <w:iCs/>
      <w:color w:val="404040"/>
      <w:sz w:val="22"/>
      <w:szCs w:val="22"/>
    </w:rPr>
  </w:style>
  <w:style w:type="character" w:customStyle="1" w:styleId="Heading8Char">
    <w:name w:val="Heading 8 Char"/>
    <w:basedOn w:val="DefaultParagraphFont"/>
    <w:link w:val="Heading8"/>
    <w:uiPriority w:val="73"/>
    <w:rsid w:val="00CF687E"/>
    <w:rPr>
      <w:rFonts w:ascii="Cambria" w:hAnsi="Cambria"/>
      <w:color w:val="404040"/>
      <w:sz w:val="22"/>
      <w:szCs w:val="22"/>
    </w:rPr>
  </w:style>
  <w:style w:type="character" w:customStyle="1" w:styleId="Heading9Char">
    <w:name w:val="Heading 9 Char"/>
    <w:basedOn w:val="DefaultParagraphFont"/>
    <w:link w:val="Heading9"/>
    <w:uiPriority w:val="73"/>
    <w:rsid w:val="00CF687E"/>
    <w:rPr>
      <w:rFonts w:ascii="Cambria" w:hAnsi="Cambria"/>
      <w:i/>
      <w:iCs/>
      <w:color w:val="404040"/>
      <w:sz w:val="22"/>
      <w:szCs w:val="22"/>
    </w:rPr>
  </w:style>
  <w:style w:type="paragraph" w:styleId="MacroText">
    <w:name w:val="macro"/>
    <w:aliases w:val="Table Text"/>
    <w:link w:val="MacroTextChar"/>
    <w:rsid w:val="00CF687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heme="minorHAnsi" w:hAnsiTheme="minorHAnsi"/>
    </w:rPr>
  </w:style>
  <w:style w:type="character" w:customStyle="1" w:styleId="MacroTextChar">
    <w:name w:val="Macro Text Char"/>
    <w:aliases w:val="Table Text Char"/>
    <w:basedOn w:val="DefaultParagraphFont"/>
    <w:link w:val="MacroText"/>
    <w:rsid w:val="00CF687E"/>
    <w:rPr>
      <w:rFonts w:asciiTheme="minorHAnsi" w:hAnsiTheme="minorHAnsi"/>
      <w:sz w:val="22"/>
      <w:szCs w:val="22"/>
    </w:rPr>
  </w:style>
  <w:style w:type="paragraph" w:styleId="Title">
    <w:name w:val="Title"/>
    <w:basedOn w:val="Normal"/>
    <w:next w:val="Normal"/>
    <w:link w:val="TitleChar"/>
    <w:qFormat/>
    <w:rsid w:val="00CF687E"/>
    <w:pPr>
      <w:pBdr>
        <w:bottom w:val="single" w:sz="8" w:space="4" w:color="4F81BD"/>
      </w:pBdr>
      <w:spacing w:after="300"/>
      <w:jc w:val="center"/>
    </w:pPr>
    <w:rPr>
      <w:spacing w:val="5"/>
      <w:kern w:val="28"/>
      <w:sz w:val="52"/>
      <w:szCs w:val="52"/>
    </w:rPr>
  </w:style>
  <w:style w:type="character" w:customStyle="1" w:styleId="TitleChar">
    <w:name w:val="Title Char"/>
    <w:basedOn w:val="DefaultParagraphFont"/>
    <w:link w:val="Title"/>
    <w:rsid w:val="00CF687E"/>
    <w:rPr>
      <w:rFonts w:ascii="Cambria" w:hAnsi="Cambria"/>
      <w:spacing w:val="5"/>
      <w:kern w:val="28"/>
      <w:sz w:val="52"/>
      <w:szCs w:val="52"/>
    </w:rPr>
  </w:style>
  <w:style w:type="paragraph" w:styleId="BodyText">
    <w:name w:val="Body Text"/>
    <w:basedOn w:val="Normal"/>
    <w:link w:val="BodyTextChar"/>
    <w:semiHidden/>
    <w:unhideWhenUsed/>
    <w:rsid w:val="006F2EC9"/>
    <w:pPr>
      <w:spacing w:after="120"/>
    </w:pPr>
  </w:style>
  <w:style w:type="character" w:customStyle="1" w:styleId="BodyTextChar">
    <w:name w:val="Body Text Char"/>
    <w:basedOn w:val="DefaultParagraphFont"/>
    <w:link w:val="BodyText"/>
    <w:semiHidden/>
    <w:rsid w:val="006F2EC9"/>
    <w:rPr>
      <w:rFonts w:ascii="Cambria" w:eastAsia="Times New Roman" w:hAnsi="Cambria"/>
      <w:sz w:val="22"/>
      <w:szCs w:val="22"/>
    </w:rPr>
  </w:style>
  <w:style w:type="character" w:styleId="Hyperlink">
    <w:name w:val="Hyperlink"/>
    <w:basedOn w:val="DefaultParagraphFont"/>
    <w:uiPriority w:val="73"/>
    <w:unhideWhenUsed/>
    <w:rsid w:val="00CF687E"/>
    <w:rPr>
      <w:color w:val="0000FF"/>
      <w:u w:val="single"/>
    </w:rPr>
  </w:style>
  <w:style w:type="table" w:styleId="TableGrid">
    <w:name w:val="Table Grid"/>
    <w:basedOn w:val="TableNormal"/>
    <w:rsid w:val="00CF68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dent">
    <w:name w:val="Indent"/>
    <w:basedOn w:val="Normal"/>
    <w:autoRedefine/>
    <w:uiPriority w:val="69"/>
    <w:qFormat/>
    <w:rsid w:val="006F2EC9"/>
    <w:pPr>
      <w:spacing w:before="60" w:line="288" w:lineRule="auto"/>
      <w:ind w:left="720" w:right="1440"/>
    </w:pPr>
    <w:rPr>
      <w:sz w:val="18"/>
    </w:rPr>
  </w:style>
  <w:style w:type="paragraph" w:customStyle="1" w:styleId="ReferenceList">
    <w:name w:val="Reference List"/>
    <w:basedOn w:val="Normal"/>
    <w:autoRedefine/>
    <w:qFormat/>
    <w:rsid w:val="00DA4D93"/>
    <w:pPr>
      <w:tabs>
        <w:tab w:val="clear" w:pos="576"/>
      </w:tabs>
      <w:spacing w:before="120" w:after="0"/>
      <w:ind w:left="720" w:hanging="720"/>
    </w:pPr>
    <w:rPr>
      <w:sz w:val="18"/>
      <w:szCs w:val="20"/>
    </w:rPr>
  </w:style>
  <w:style w:type="paragraph" w:customStyle="1" w:styleId="Bullets">
    <w:name w:val="Bullets"/>
    <w:basedOn w:val="Normal"/>
    <w:semiHidden/>
    <w:rsid w:val="006F2EC9"/>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before="120" w:line="300" w:lineRule="exact"/>
      <w:ind w:right="720"/>
    </w:pPr>
  </w:style>
  <w:style w:type="paragraph" w:customStyle="1" w:styleId="InsertTableHere">
    <w:name w:val="Insert Table Here"/>
    <w:basedOn w:val="Normal"/>
    <w:next w:val="Normal"/>
    <w:autoRedefine/>
    <w:qFormat/>
    <w:rsid w:val="00CF687E"/>
    <w:pPr>
      <w:spacing w:before="60"/>
      <w:jc w:val="center"/>
    </w:pPr>
    <w:rPr>
      <w:b/>
      <w:i/>
    </w:rPr>
  </w:style>
  <w:style w:type="numbering" w:customStyle="1" w:styleId="StyleBulletedSymbolsymbolLeft025Hanging025">
    <w:name w:val="Style Bulleted Symbol (symbol) Left:  0.25&quot; Hanging:  0.25&quot;"/>
    <w:basedOn w:val="NoList"/>
    <w:rsid w:val="00CF687E"/>
    <w:pPr>
      <w:numPr>
        <w:numId w:val="1"/>
      </w:numPr>
    </w:pPr>
  </w:style>
  <w:style w:type="paragraph" w:customStyle="1" w:styleId="AuthorID">
    <w:name w:val="Author ID"/>
    <w:basedOn w:val="Normal"/>
    <w:qFormat/>
    <w:rsid w:val="00CF687E"/>
    <w:pPr>
      <w:widowControl/>
      <w:tabs>
        <w:tab w:val="clear" w:pos="576"/>
      </w:tabs>
      <w:autoSpaceDE/>
      <w:autoSpaceDN/>
      <w:adjustRightInd/>
      <w:jc w:val="center"/>
    </w:pPr>
  </w:style>
  <w:style w:type="paragraph" w:customStyle="1" w:styleId="ColorfulList-Accent11">
    <w:name w:val="Colorful List - Accent 11"/>
    <w:aliases w:val="Bulleted list"/>
    <w:basedOn w:val="Normal"/>
    <w:autoRedefine/>
    <w:uiPriority w:val="73"/>
    <w:qFormat/>
    <w:rsid w:val="00CF687E"/>
    <w:pPr>
      <w:widowControl/>
      <w:numPr>
        <w:numId w:val="9"/>
      </w:numPr>
      <w:tabs>
        <w:tab w:val="left" w:pos="288"/>
      </w:tabs>
      <w:spacing w:after="120" w:line="288" w:lineRule="auto"/>
      <w:ind w:right="1008"/>
    </w:pPr>
    <w:rPr>
      <w:sz w:val="20"/>
      <w:lang w:bidi="en-US"/>
    </w:rPr>
  </w:style>
  <w:style w:type="paragraph" w:customStyle="1" w:styleId="Normalmemo">
    <w:name w:val="Normal memo"/>
    <w:basedOn w:val="Normal"/>
    <w:autoRedefine/>
    <w:qFormat/>
    <w:rsid w:val="006F2EC9"/>
    <w:pPr>
      <w:spacing w:after="0" w:line="360" w:lineRule="auto"/>
      <w:ind w:firstLine="720"/>
    </w:pPr>
  </w:style>
  <w:style w:type="paragraph" w:customStyle="1" w:styleId="Indentedpara">
    <w:name w:val="Indented para"/>
    <w:basedOn w:val="Normal"/>
    <w:autoRedefine/>
    <w:rsid w:val="00CF687E"/>
    <w:pPr>
      <w:spacing w:before="60"/>
      <w:ind w:left="720" w:right="1440"/>
    </w:pPr>
    <w:rPr>
      <w:sz w:val="18"/>
    </w:rPr>
  </w:style>
  <w:style w:type="numbering" w:customStyle="1" w:styleId="StyleBulletedSymbolsymbol10ptLeft05Hanging025">
    <w:name w:val="Style Bulleted Symbol (symbol) 10 pt Left:  0.5&quot; Hanging:  0.25&quot;"/>
    <w:basedOn w:val="NoList"/>
    <w:rsid w:val="006F2EC9"/>
    <w:pPr>
      <w:numPr>
        <w:numId w:val="3"/>
      </w:numPr>
    </w:pPr>
  </w:style>
  <w:style w:type="paragraph" w:styleId="TableofFigures">
    <w:name w:val="table of figures"/>
    <w:aliases w:val="Table Title,Table text"/>
    <w:basedOn w:val="Normal"/>
    <w:next w:val="Normal"/>
    <w:qFormat/>
    <w:rsid w:val="00CF687E"/>
    <w:pPr>
      <w:tabs>
        <w:tab w:val="clear" w:pos="576"/>
      </w:tabs>
      <w:spacing w:after="0"/>
    </w:pPr>
    <w:rPr>
      <w:rFonts w:asciiTheme="minorHAnsi" w:hAnsiTheme="minorHAnsi"/>
      <w:b/>
      <w:sz w:val="20"/>
    </w:rPr>
  </w:style>
  <w:style w:type="paragraph" w:customStyle="1" w:styleId="Normaldoublespace">
    <w:name w:val="Normal double space"/>
    <w:basedOn w:val="Normal"/>
    <w:autoRedefine/>
    <w:qFormat/>
    <w:rsid w:val="00CF687E"/>
    <w:pPr>
      <w:spacing w:after="0" w:line="360" w:lineRule="auto"/>
    </w:pPr>
  </w:style>
  <w:style w:type="paragraph" w:styleId="ListParagraph">
    <w:name w:val="List Paragraph"/>
    <w:basedOn w:val="Normal"/>
    <w:autoRedefine/>
    <w:uiPriority w:val="73"/>
    <w:qFormat/>
    <w:rsid w:val="00534739"/>
    <w:pPr>
      <w:ind w:left="720" w:right="1440"/>
      <w:contextualSpacing/>
    </w:pPr>
    <w:rPr>
      <w:sz w:val="20"/>
    </w:rPr>
  </w:style>
</w:styles>
</file>

<file path=word/webSettings.xml><?xml version="1.0" encoding="utf-8"?>
<w:webSettings xmlns:r="http://schemas.openxmlformats.org/officeDocument/2006/relationships" xmlns:w="http://schemas.openxmlformats.org/wordprocessingml/2006/main">
  <w:divs>
    <w:div w:id="48773524">
      <w:bodyDiv w:val="1"/>
      <w:marLeft w:val="0"/>
      <w:marRight w:val="0"/>
      <w:marTop w:val="0"/>
      <w:marBottom w:val="0"/>
      <w:divBdr>
        <w:top w:val="none" w:sz="0" w:space="0" w:color="auto"/>
        <w:left w:val="none" w:sz="0" w:space="0" w:color="auto"/>
        <w:bottom w:val="none" w:sz="0" w:space="0" w:color="auto"/>
        <w:right w:val="none" w:sz="0" w:space="0" w:color="auto"/>
      </w:divBdr>
      <w:divsChild>
        <w:div w:id="369384596">
          <w:marLeft w:val="0"/>
          <w:marRight w:val="0"/>
          <w:marTop w:val="0"/>
          <w:marBottom w:val="0"/>
          <w:divBdr>
            <w:top w:val="none" w:sz="0" w:space="0" w:color="auto"/>
            <w:left w:val="none" w:sz="0" w:space="0" w:color="auto"/>
            <w:bottom w:val="none" w:sz="0" w:space="0" w:color="auto"/>
            <w:right w:val="none" w:sz="0" w:space="0" w:color="auto"/>
          </w:divBdr>
        </w:div>
        <w:div w:id="1257246213">
          <w:marLeft w:val="0"/>
          <w:marRight w:val="0"/>
          <w:marTop w:val="0"/>
          <w:marBottom w:val="0"/>
          <w:divBdr>
            <w:top w:val="none" w:sz="0" w:space="0" w:color="auto"/>
            <w:left w:val="none" w:sz="0" w:space="0" w:color="auto"/>
            <w:bottom w:val="none" w:sz="0" w:space="0" w:color="auto"/>
            <w:right w:val="none" w:sz="0" w:space="0" w:color="auto"/>
          </w:divBdr>
        </w:div>
        <w:div w:id="1582373209">
          <w:marLeft w:val="0"/>
          <w:marRight w:val="0"/>
          <w:marTop w:val="0"/>
          <w:marBottom w:val="0"/>
          <w:divBdr>
            <w:top w:val="none" w:sz="0" w:space="0" w:color="auto"/>
            <w:left w:val="none" w:sz="0" w:space="0" w:color="auto"/>
            <w:bottom w:val="none" w:sz="0" w:space="0" w:color="auto"/>
            <w:right w:val="none" w:sz="0" w:space="0" w:color="auto"/>
          </w:divBdr>
        </w:div>
        <w:div w:id="178468538">
          <w:marLeft w:val="0"/>
          <w:marRight w:val="0"/>
          <w:marTop w:val="0"/>
          <w:marBottom w:val="0"/>
          <w:divBdr>
            <w:top w:val="none" w:sz="0" w:space="0" w:color="auto"/>
            <w:left w:val="none" w:sz="0" w:space="0" w:color="auto"/>
            <w:bottom w:val="none" w:sz="0" w:space="0" w:color="auto"/>
            <w:right w:val="none" w:sz="0" w:space="0" w:color="auto"/>
          </w:divBdr>
        </w:div>
        <w:div w:id="617881534">
          <w:marLeft w:val="0"/>
          <w:marRight w:val="0"/>
          <w:marTop w:val="0"/>
          <w:marBottom w:val="0"/>
          <w:divBdr>
            <w:top w:val="none" w:sz="0" w:space="0" w:color="auto"/>
            <w:left w:val="none" w:sz="0" w:space="0" w:color="auto"/>
            <w:bottom w:val="none" w:sz="0" w:space="0" w:color="auto"/>
            <w:right w:val="none" w:sz="0" w:space="0" w:color="auto"/>
          </w:divBdr>
        </w:div>
        <w:div w:id="1163200488">
          <w:marLeft w:val="0"/>
          <w:marRight w:val="0"/>
          <w:marTop w:val="0"/>
          <w:marBottom w:val="0"/>
          <w:divBdr>
            <w:top w:val="none" w:sz="0" w:space="0" w:color="auto"/>
            <w:left w:val="none" w:sz="0" w:space="0" w:color="auto"/>
            <w:bottom w:val="none" w:sz="0" w:space="0" w:color="auto"/>
            <w:right w:val="none" w:sz="0" w:space="0" w:color="auto"/>
          </w:divBdr>
        </w:div>
        <w:div w:id="1182233771">
          <w:marLeft w:val="0"/>
          <w:marRight w:val="0"/>
          <w:marTop w:val="0"/>
          <w:marBottom w:val="0"/>
          <w:divBdr>
            <w:top w:val="none" w:sz="0" w:space="0" w:color="auto"/>
            <w:left w:val="none" w:sz="0" w:space="0" w:color="auto"/>
            <w:bottom w:val="none" w:sz="0" w:space="0" w:color="auto"/>
            <w:right w:val="none" w:sz="0" w:space="0" w:color="auto"/>
          </w:divBdr>
        </w:div>
        <w:div w:id="2124111675">
          <w:marLeft w:val="0"/>
          <w:marRight w:val="0"/>
          <w:marTop w:val="0"/>
          <w:marBottom w:val="0"/>
          <w:divBdr>
            <w:top w:val="none" w:sz="0" w:space="0" w:color="auto"/>
            <w:left w:val="none" w:sz="0" w:space="0" w:color="auto"/>
            <w:bottom w:val="none" w:sz="0" w:space="0" w:color="auto"/>
            <w:right w:val="none" w:sz="0" w:space="0" w:color="auto"/>
          </w:divBdr>
        </w:div>
      </w:divsChild>
    </w:div>
    <w:div w:id="1874686227">
      <w:bodyDiv w:val="1"/>
      <w:marLeft w:val="0"/>
      <w:marRight w:val="0"/>
      <w:marTop w:val="0"/>
      <w:marBottom w:val="0"/>
      <w:divBdr>
        <w:top w:val="none" w:sz="0" w:space="0" w:color="auto"/>
        <w:left w:val="none" w:sz="0" w:space="0" w:color="auto"/>
        <w:bottom w:val="none" w:sz="0" w:space="0" w:color="auto"/>
        <w:right w:val="none" w:sz="0" w:space="0" w:color="auto"/>
      </w:divBdr>
      <w:divsChild>
        <w:div w:id="610238316">
          <w:marLeft w:val="0"/>
          <w:marRight w:val="0"/>
          <w:marTop w:val="0"/>
          <w:marBottom w:val="0"/>
          <w:divBdr>
            <w:top w:val="none" w:sz="0" w:space="0" w:color="auto"/>
            <w:left w:val="none" w:sz="0" w:space="0" w:color="auto"/>
            <w:bottom w:val="none" w:sz="0" w:space="0" w:color="auto"/>
            <w:right w:val="none" w:sz="0" w:space="0" w:color="auto"/>
          </w:divBdr>
        </w:div>
        <w:div w:id="1876848034">
          <w:marLeft w:val="0"/>
          <w:marRight w:val="0"/>
          <w:marTop w:val="0"/>
          <w:marBottom w:val="0"/>
          <w:divBdr>
            <w:top w:val="none" w:sz="0" w:space="0" w:color="auto"/>
            <w:left w:val="none" w:sz="0" w:space="0" w:color="auto"/>
            <w:bottom w:val="none" w:sz="0" w:space="0" w:color="auto"/>
            <w:right w:val="none" w:sz="0" w:space="0" w:color="auto"/>
          </w:divBdr>
        </w:div>
        <w:div w:id="367533897">
          <w:marLeft w:val="0"/>
          <w:marRight w:val="0"/>
          <w:marTop w:val="0"/>
          <w:marBottom w:val="0"/>
          <w:divBdr>
            <w:top w:val="none" w:sz="0" w:space="0" w:color="auto"/>
            <w:left w:val="none" w:sz="0" w:space="0" w:color="auto"/>
            <w:bottom w:val="none" w:sz="0" w:space="0" w:color="auto"/>
            <w:right w:val="none" w:sz="0" w:space="0" w:color="auto"/>
          </w:divBdr>
        </w:div>
        <w:div w:id="941650410">
          <w:marLeft w:val="0"/>
          <w:marRight w:val="0"/>
          <w:marTop w:val="0"/>
          <w:marBottom w:val="0"/>
          <w:divBdr>
            <w:top w:val="none" w:sz="0" w:space="0" w:color="auto"/>
            <w:left w:val="none" w:sz="0" w:space="0" w:color="auto"/>
            <w:bottom w:val="none" w:sz="0" w:space="0" w:color="auto"/>
            <w:right w:val="none" w:sz="0" w:space="0" w:color="auto"/>
          </w:divBdr>
        </w:div>
        <w:div w:id="958339810">
          <w:marLeft w:val="0"/>
          <w:marRight w:val="0"/>
          <w:marTop w:val="0"/>
          <w:marBottom w:val="0"/>
          <w:divBdr>
            <w:top w:val="none" w:sz="0" w:space="0" w:color="auto"/>
            <w:left w:val="none" w:sz="0" w:space="0" w:color="auto"/>
            <w:bottom w:val="none" w:sz="0" w:space="0" w:color="auto"/>
            <w:right w:val="none" w:sz="0" w:space="0" w:color="auto"/>
          </w:divBdr>
        </w:div>
        <w:div w:id="1914510823">
          <w:marLeft w:val="0"/>
          <w:marRight w:val="0"/>
          <w:marTop w:val="0"/>
          <w:marBottom w:val="0"/>
          <w:divBdr>
            <w:top w:val="none" w:sz="0" w:space="0" w:color="auto"/>
            <w:left w:val="none" w:sz="0" w:space="0" w:color="auto"/>
            <w:bottom w:val="none" w:sz="0" w:space="0" w:color="auto"/>
            <w:right w:val="none" w:sz="0" w:space="0" w:color="auto"/>
          </w:divBdr>
        </w:div>
        <w:div w:id="862590959">
          <w:marLeft w:val="0"/>
          <w:marRight w:val="0"/>
          <w:marTop w:val="0"/>
          <w:marBottom w:val="0"/>
          <w:divBdr>
            <w:top w:val="none" w:sz="0" w:space="0" w:color="auto"/>
            <w:left w:val="none" w:sz="0" w:space="0" w:color="auto"/>
            <w:bottom w:val="none" w:sz="0" w:space="0" w:color="auto"/>
            <w:right w:val="none" w:sz="0" w:space="0" w:color="auto"/>
          </w:divBdr>
        </w:div>
        <w:div w:id="122102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agen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ennedy@msu.edu" TargetMode="External"/><Relationship Id="rId5" Type="http://schemas.openxmlformats.org/officeDocument/2006/relationships/hyperlink" Target="http://www.msu.edu/%7Emkennedy/public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mkennedy</dc:creator>
  <cp:lastModifiedBy>mkennedy</cp:lastModifiedBy>
  <cp:revision>5</cp:revision>
  <dcterms:created xsi:type="dcterms:W3CDTF">2010-08-31T02:36:00Z</dcterms:created>
  <dcterms:modified xsi:type="dcterms:W3CDTF">2010-11-16T18:56:00Z</dcterms:modified>
</cp:coreProperties>
</file>